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4B82" w14:textId="0AD2D65F" w:rsidR="00DD58B7" w:rsidRDefault="005A7651" w:rsidP="008C01A1">
      <w:pPr>
        <w:pStyle w:val="Heading1"/>
        <w:rPr>
          <w:sz w:val="40"/>
        </w:rPr>
      </w:pPr>
      <w:r w:rsidRPr="000D0AB9">
        <w:rPr>
          <w:sz w:val="40"/>
        </w:rPr>
        <w:t>Einstein Statement of Work Guide</w:t>
      </w:r>
    </w:p>
    <w:p w14:paraId="5576BA20" w14:textId="715A2D88" w:rsidR="008C01A1" w:rsidRPr="008C01A1" w:rsidRDefault="008C01A1" w:rsidP="008C01A1">
      <w:pPr>
        <w:pBdr>
          <w:bottom w:val="single" w:sz="4" w:space="1" w:color="auto"/>
        </w:pBdr>
      </w:pPr>
      <w:r>
        <w:t>September 2021</w:t>
      </w:r>
    </w:p>
    <w:p w14:paraId="3E1DBF3A" w14:textId="05A750A0" w:rsidR="005A7651" w:rsidRDefault="005A7651" w:rsidP="005A7651">
      <w:pPr>
        <w:pStyle w:val="ListParagraph"/>
      </w:pPr>
    </w:p>
    <w:p w14:paraId="11A096F4" w14:textId="1D587B8B" w:rsidR="008C01A1" w:rsidRPr="00D37013" w:rsidRDefault="008C01A1" w:rsidP="008C01A1">
      <w:r>
        <w:rPr>
          <w:b/>
        </w:rPr>
        <w:t>It is the responsibility of the Principal Investigator (PI) in conjunction with the Administrator to ensure the Statement of Work (SOW) is included in the sponsored agreement</w:t>
      </w:r>
      <w:r w:rsidRPr="00D37013">
        <w:t>.</w:t>
      </w:r>
      <w:r>
        <w:t xml:space="preserve"> </w:t>
      </w:r>
    </w:p>
    <w:p w14:paraId="163DD76F" w14:textId="7DDE6C83" w:rsidR="005A7651" w:rsidRDefault="000D0AB9" w:rsidP="000D0AB9">
      <w:r>
        <w:t xml:space="preserve">A comprehensive </w:t>
      </w:r>
      <w:r w:rsidR="00994943">
        <w:t xml:space="preserve">contract </w:t>
      </w:r>
      <w:r>
        <w:t>should identify:</w:t>
      </w:r>
    </w:p>
    <w:p w14:paraId="5D7E7C1D" w14:textId="77777777" w:rsidR="000D0AB9" w:rsidRDefault="000D0AB9" w:rsidP="00587990">
      <w:pPr>
        <w:ind w:left="720"/>
      </w:pPr>
      <w:r w:rsidRPr="000D0AB9">
        <w:rPr>
          <w:b/>
        </w:rPr>
        <w:t>Who</w:t>
      </w:r>
      <w:r>
        <w:t xml:space="preserve"> – the institution, the PI and project staffing</w:t>
      </w:r>
    </w:p>
    <w:p w14:paraId="586C469D" w14:textId="2D93F18E" w:rsidR="000D0AB9" w:rsidRDefault="000D0AB9" w:rsidP="00587990">
      <w:pPr>
        <w:ind w:left="720"/>
      </w:pPr>
      <w:r w:rsidRPr="000D0AB9">
        <w:rPr>
          <w:b/>
        </w:rPr>
        <w:t>What</w:t>
      </w:r>
      <w:r>
        <w:t xml:space="preserve"> – project and subaward objectives</w:t>
      </w:r>
      <w:r w:rsidR="00441448">
        <w:t>,</w:t>
      </w:r>
      <w:r>
        <w:t xml:space="preserve"> description of research to be conducted</w:t>
      </w:r>
      <w:r w:rsidR="00441448">
        <w:t xml:space="preserve">, </w:t>
      </w:r>
      <w:r w:rsidR="00784CF7">
        <w:t xml:space="preserve">materials </w:t>
      </w:r>
      <w:r w:rsidR="00ED0502">
        <w:t>to be used in project</w:t>
      </w:r>
      <w:r w:rsidR="00143956">
        <w:t xml:space="preserve"> (and if they are subject to a Material Transfer Agreement)</w:t>
      </w:r>
      <w:r w:rsidR="00ED0502">
        <w:t xml:space="preserve">, </w:t>
      </w:r>
      <w:r w:rsidR="00441448">
        <w:t>and connection (if any) to existing research projects</w:t>
      </w:r>
      <w:r w:rsidR="00784CF7">
        <w:t xml:space="preserve">, technologies, </w:t>
      </w:r>
      <w:r w:rsidR="00ED0502">
        <w:t>or agreements</w:t>
      </w:r>
    </w:p>
    <w:p w14:paraId="4CDDEC52" w14:textId="77777777" w:rsidR="000D0AB9" w:rsidRDefault="000D0AB9" w:rsidP="00587990">
      <w:pPr>
        <w:ind w:left="720"/>
      </w:pPr>
      <w:r w:rsidRPr="000D0AB9">
        <w:rPr>
          <w:b/>
        </w:rPr>
        <w:t>When</w:t>
      </w:r>
      <w:r>
        <w:t xml:space="preserve"> – the period of performance and timing/frequency of meetings and reports</w:t>
      </w:r>
    </w:p>
    <w:p w14:paraId="78BFE638" w14:textId="77777777" w:rsidR="000D0AB9" w:rsidRPr="00D37013" w:rsidRDefault="000D0AB9" w:rsidP="00587990">
      <w:pPr>
        <w:ind w:left="720"/>
      </w:pPr>
      <w:r w:rsidRPr="00D37013">
        <w:rPr>
          <w:b/>
        </w:rPr>
        <w:t>Where</w:t>
      </w:r>
      <w:r w:rsidRPr="00D37013">
        <w:t xml:space="preserve"> – location(s) where the research will be conducted</w:t>
      </w:r>
    </w:p>
    <w:p w14:paraId="74EFE9C7" w14:textId="56128EFF" w:rsidR="000D0AB9" w:rsidRDefault="000D0AB9" w:rsidP="00587990">
      <w:pPr>
        <w:ind w:left="720"/>
      </w:pPr>
      <w:r w:rsidRPr="00D37013">
        <w:rPr>
          <w:b/>
        </w:rPr>
        <w:t>How</w:t>
      </w:r>
      <w:r w:rsidRPr="00D37013">
        <w:t xml:space="preserve"> – deliverables and milestones defined with a high level of specificity and detail. </w:t>
      </w:r>
    </w:p>
    <w:p w14:paraId="1896B368" w14:textId="73D9E628" w:rsidR="000D0AB9" w:rsidRDefault="000D0AB9" w:rsidP="000D0AB9">
      <w:pPr>
        <w:pStyle w:val="Title"/>
        <w:rPr>
          <w:color w:val="1F4E79" w:themeColor="accent1" w:themeShade="80"/>
          <w:sz w:val="32"/>
        </w:rPr>
      </w:pPr>
      <w:r w:rsidRPr="000D0AB9">
        <w:rPr>
          <w:color w:val="1F4E79" w:themeColor="accent1" w:themeShade="80"/>
          <w:sz w:val="32"/>
        </w:rPr>
        <w:t xml:space="preserve">For Federal Incoming or Outgoing Subcontracts – please include the following in </w:t>
      </w:r>
      <w:r w:rsidR="00994943">
        <w:rPr>
          <w:color w:val="1F4E79" w:themeColor="accent1" w:themeShade="80"/>
          <w:sz w:val="32"/>
        </w:rPr>
        <w:t xml:space="preserve">the </w:t>
      </w:r>
      <w:r w:rsidR="00994943" w:rsidRPr="00994943">
        <w:rPr>
          <w:color w:val="1F4E79" w:themeColor="accent1" w:themeShade="80"/>
          <w:sz w:val="32"/>
        </w:rPr>
        <w:t>Statement of Work</w:t>
      </w:r>
      <w:r w:rsidR="00994943">
        <w:rPr>
          <w:color w:val="1F4E79" w:themeColor="accent1" w:themeShade="80"/>
          <w:sz w:val="32"/>
        </w:rPr>
        <w:t xml:space="preserve"> Box in </w:t>
      </w:r>
      <w:r w:rsidRPr="00B05B12">
        <w:rPr>
          <w:i/>
          <w:color w:val="1F4E79" w:themeColor="accent1" w:themeShade="80"/>
          <w:sz w:val="32"/>
        </w:rPr>
        <w:t>Attachment 5</w:t>
      </w:r>
    </w:p>
    <w:p w14:paraId="686D6443" w14:textId="77777777" w:rsidR="003351A5" w:rsidRDefault="003351A5" w:rsidP="00587990">
      <w:pPr>
        <w:spacing w:after="0" w:line="240" w:lineRule="auto"/>
        <w:rPr>
          <w:rFonts w:ascii="Calibri" w:eastAsia="Times New Roman" w:hAnsi="Calibri" w:cs="Calibri"/>
          <w:color w:val="000000"/>
        </w:rPr>
      </w:pPr>
    </w:p>
    <w:p w14:paraId="47AC431E" w14:textId="58F5DA1F" w:rsidR="00587990" w:rsidRPr="00E71C45" w:rsidRDefault="00587990" w:rsidP="00587990">
      <w:pPr>
        <w:spacing w:after="0" w:line="240" w:lineRule="auto"/>
        <w:rPr>
          <w:rFonts w:ascii="Calibri" w:eastAsia="Times New Roman" w:hAnsi="Calibri" w:cs="Calibri"/>
          <w:color w:val="000000"/>
        </w:rPr>
      </w:pPr>
      <w:r w:rsidRPr="00E71C45">
        <w:rPr>
          <w:rFonts w:ascii="Calibri" w:eastAsia="Times New Roman" w:hAnsi="Calibri" w:cs="Calibri"/>
          <w:color w:val="000000"/>
        </w:rPr>
        <w:t xml:space="preserve">A succinct statement of the purpose of the agreement.  It should outline results that Einstein expects and/or identify the benefits to the program that is contemplated. An overall, non-technical description of the work to be performed.  It expands on the projected objectives, but does not attempt to detail all of the work required. It </w:t>
      </w:r>
      <w:r w:rsidR="00994943">
        <w:rPr>
          <w:rFonts w:ascii="Calibri" w:eastAsia="Times New Roman" w:hAnsi="Calibri" w:cs="Calibri"/>
          <w:color w:val="000000"/>
        </w:rPr>
        <w:t xml:space="preserve">summarizes </w:t>
      </w:r>
      <w:r w:rsidRPr="00E71C45">
        <w:rPr>
          <w:rFonts w:ascii="Calibri" w:eastAsia="Times New Roman" w:hAnsi="Calibri" w:cs="Calibri"/>
          <w:color w:val="000000"/>
        </w:rPr>
        <w:t xml:space="preserve">what is expected of the performance of the work. </w:t>
      </w:r>
    </w:p>
    <w:p w14:paraId="3697BB81" w14:textId="77777777" w:rsidR="00E71C45" w:rsidRDefault="00E71C45"/>
    <w:p w14:paraId="76010306" w14:textId="77777777" w:rsidR="00E827A9" w:rsidRDefault="00E827A9" w:rsidP="00E827A9">
      <w:r w:rsidRPr="00E827A9">
        <w:rPr>
          <w:b/>
        </w:rPr>
        <w:t>Example:</w:t>
      </w:r>
      <w:r>
        <w:t xml:space="preserve"> Dr. Smith and the GOVT Site A component will have primary responsibility for recruiting patients with mild traumatic brain injury due to blast exposure and patients with posttraumatic stress disorder without a history of traumatic brain injury. These subjects will receive cognitive and psychiatric assessments at Site A and MRI studies at the Einstein. It is anticipated that over the course of the next three years at least 50 subjects with </w:t>
      </w:r>
      <w:proofErr w:type="spellStart"/>
      <w:r>
        <w:t>mTBI</w:t>
      </w:r>
      <w:proofErr w:type="spellEnd"/>
      <w:r>
        <w:t xml:space="preserve"> and 25 subjects with PTSD fulfilling inclusion/exclusion criteria for MR studies will be recruited and studied. In addition to recruiting the subjects, the Site A component will be responsible for administering a standardized battery of tests to assess cognitive function. The Site A component will also be responsible for performing tests for PTSD, depression and anxiety. The de-identified results of these tests will be provided to Dr. Jones and his staff for correlation with the MRI data. To facilitate the work, the scope of the work for the first year has been divided into 2 phases. 1. In the first phase Dr. Smith and her associates will: a. Obtain IRB approval for studying patients under this protocol. b. Establish the cognitive assessment protocols 2. In the second phase Dr. Smith and her group will begin a. Recruitment of patients b. Carry out the cognitive assessment battery developed in the first phase.</w:t>
      </w:r>
    </w:p>
    <w:p w14:paraId="1FDE021B" w14:textId="77777777" w:rsidR="003351A5" w:rsidRDefault="003351A5">
      <w:r>
        <w:br w:type="page"/>
      </w:r>
    </w:p>
    <w:p w14:paraId="23038247" w14:textId="77777777" w:rsidR="00452FC5" w:rsidRDefault="00452FC5" w:rsidP="00E827A9"/>
    <w:p w14:paraId="58A9A7AC" w14:textId="1D16FDCC" w:rsidR="005A7651" w:rsidRPr="000D0AB9" w:rsidRDefault="000D0AB9" w:rsidP="000D0AB9">
      <w:pPr>
        <w:rPr>
          <w:rFonts w:asciiTheme="majorHAnsi" w:eastAsiaTheme="majorEastAsia" w:hAnsiTheme="majorHAnsi" w:cstheme="majorBidi"/>
          <w:color w:val="1F4E79" w:themeColor="accent1" w:themeShade="80"/>
          <w:spacing w:val="-10"/>
          <w:kern w:val="28"/>
          <w:sz w:val="32"/>
          <w:szCs w:val="56"/>
        </w:rPr>
      </w:pPr>
      <w:r w:rsidRPr="000D0AB9">
        <w:rPr>
          <w:rFonts w:asciiTheme="majorHAnsi" w:eastAsiaTheme="majorEastAsia" w:hAnsiTheme="majorHAnsi" w:cstheme="majorBidi"/>
          <w:color w:val="1F4E79" w:themeColor="accent1" w:themeShade="80"/>
          <w:spacing w:val="-10"/>
          <w:kern w:val="28"/>
          <w:sz w:val="32"/>
          <w:szCs w:val="56"/>
        </w:rPr>
        <w:t xml:space="preserve">For all other agreements </w:t>
      </w:r>
      <w:r w:rsidR="003D08D9">
        <w:rPr>
          <w:rFonts w:asciiTheme="majorHAnsi" w:eastAsiaTheme="majorEastAsia" w:hAnsiTheme="majorHAnsi" w:cstheme="majorBidi"/>
          <w:color w:val="1F4E79" w:themeColor="accent1" w:themeShade="80"/>
          <w:spacing w:val="-10"/>
          <w:kern w:val="28"/>
          <w:sz w:val="32"/>
          <w:szCs w:val="56"/>
        </w:rPr>
        <w:t>(</w:t>
      </w:r>
      <w:r w:rsidR="00A770DA">
        <w:rPr>
          <w:rFonts w:asciiTheme="majorHAnsi" w:eastAsiaTheme="majorEastAsia" w:hAnsiTheme="majorHAnsi" w:cstheme="majorBidi"/>
          <w:color w:val="1F4E79" w:themeColor="accent1" w:themeShade="80"/>
          <w:spacing w:val="-10"/>
          <w:kern w:val="28"/>
          <w:sz w:val="32"/>
          <w:szCs w:val="56"/>
        </w:rPr>
        <w:t xml:space="preserve">State, City, </w:t>
      </w:r>
      <w:r w:rsidR="003D08D9">
        <w:rPr>
          <w:rFonts w:asciiTheme="majorHAnsi" w:eastAsiaTheme="majorEastAsia" w:hAnsiTheme="majorHAnsi" w:cstheme="majorBidi"/>
          <w:color w:val="1F4E79" w:themeColor="accent1" w:themeShade="80"/>
          <w:spacing w:val="-10"/>
          <w:kern w:val="28"/>
          <w:sz w:val="32"/>
          <w:szCs w:val="56"/>
        </w:rPr>
        <w:t>Foundations, Associations</w:t>
      </w:r>
      <w:r w:rsidR="00A770DA">
        <w:rPr>
          <w:rFonts w:asciiTheme="majorHAnsi" w:eastAsiaTheme="majorEastAsia" w:hAnsiTheme="majorHAnsi" w:cstheme="majorBidi"/>
          <w:color w:val="1F4E79" w:themeColor="accent1" w:themeShade="80"/>
          <w:spacing w:val="-10"/>
          <w:kern w:val="28"/>
          <w:sz w:val="32"/>
          <w:szCs w:val="56"/>
        </w:rPr>
        <w:t>,</w:t>
      </w:r>
      <w:r w:rsidR="003D08D9">
        <w:rPr>
          <w:rFonts w:asciiTheme="majorHAnsi" w:eastAsiaTheme="majorEastAsia" w:hAnsiTheme="majorHAnsi" w:cstheme="majorBidi"/>
          <w:color w:val="1F4E79" w:themeColor="accent1" w:themeShade="80"/>
          <w:spacing w:val="-10"/>
          <w:kern w:val="28"/>
          <w:sz w:val="32"/>
          <w:szCs w:val="56"/>
        </w:rPr>
        <w:t xml:space="preserve"> Industry</w:t>
      </w:r>
      <w:r w:rsidR="00A770DA">
        <w:rPr>
          <w:rFonts w:asciiTheme="majorHAnsi" w:eastAsiaTheme="majorEastAsia" w:hAnsiTheme="majorHAnsi" w:cstheme="majorBidi"/>
          <w:color w:val="1F4E79" w:themeColor="accent1" w:themeShade="80"/>
          <w:spacing w:val="-10"/>
          <w:kern w:val="28"/>
          <w:sz w:val="32"/>
          <w:szCs w:val="56"/>
        </w:rPr>
        <w:t xml:space="preserve"> or Other </w:t>
      </w:r>
      <w:proofErr w:type="gramStart"/>
      <w:r w:rsidR="00A770DA">
        <w:rPr>
          <w:rFonts w:asciiTheme="majorHAnsi" w:eastAsiaTheme="majorEastAsia" w:hAnsiTheme="majorHAnsi" w:cstheme="majorBidi"/>
          <w:color w:val="1F4E79" w:themeColor="accent1" w:themeShade="80"/>
          <w:spacing w:val="-10"/>
          <w:kern w:val="28"/>
          <w:sz w:val="32"/>
          <w:szCs w:val="56"/>
        </w:rPr>
        <w:t>non-Profit</w:t>
      </w:r>
      <w:proofErr w:type="gramEnd"/>
      <w:r w:rsidR="003D08D9">
        <w:rPr>
          <w:rFonts w:asciiTheme="majorHAnsi" w:eastAsiaTheme="majorEastAsia" w:hAnsiTheme="majorHAnsi" w:cstheme="majorBidi"/>
          <w:color w:val="1F4E79" w:themeColor="accent1" w:themeShade="80"/>
          <w:spacing w:val="-10"/>
          <w:kern w:val="28"/>
          <w:sz w:val="32"/>
          <w:szCs w:val="56"/>
        </w:rPr>
        <w:t>)</w:t>
      </w:r>
      <w:r w:rsidR="00A770DA">
        <w:rPr>
          <w:rFonts w:asciiTheme="majorHAnsi" w:eastAsiaTheme="majorEastAsia" w:hAnsiTheme="majorHAnsi" w:cstheme="majorBidi"/>
          <w:color w:val="1F4E79" w:themeColor="accent1" w:themeShade="80"/>
          <w:spacing w:val="-10"/>
          <w:kern w:val="28"/>
          <w:sz w:val="32"/>
          <w:szCs w:val="56"/>
        </w:rPr>
        <w:t xml:space="preserve"> </w:t>
      </w:r>
      <w:r w:rsidRPr="000D0AB9">
        <w:rPr>
          <w:rFonts w:asciiTheme="majorHAnsi" w:eastAsiaTheme="majorEastAsia" w:hAnsiTheme="majorHAnsi" w:cstheme="majorBidi"/>
          <w:color w:val="1F4E79" w:themeColor="accent1" w:themeShade="80"/>
          <w:spacing w:val="-10"/>
          <w:kern w:val="28"/>
          <w:sz w:val="32"/>
          <w:szCs w:val="56"/>
        </w:rPr>
        <w:t>– please include the following in the Statement of Work</w:t>
      </w:r>
    </w:p>
    <w:p w14:paraId="7F924F11" w14:textId="77777777" w:rsidR="005A7651" w:rsidRDefault="005A7651" w:rsidP="000D0AB9">
      <w:pPr>
        <w:pStyle w:val="ListParagraph"/>
        <w:numPr>
          <w:ilvl w:val="0"/>
          <w:numId w:val="5"/>
        </w:numPr>
      </w:pPr>
      <w:r>
        <w:t>Introduction / Background</w:t>
      </w:r>
    </w:p>
    <w:p w14:paraId="2AF03A5C" w14:textId="77777777" w:rsidR="005A7651" w:rsidRDefault="005A7651" w:rsidP="000D0AB9">
      <w:pPr>
        <w:pStyle w:val="ListParagraph"/>
        <w:numPr>
          <w:ilvl w:val="1"/>
          <w:numId w:val="5"/>
        </w:numPr>
      </w:pPr>
      <w:r>
        <w:t>PI</w:t>
      </w:r>
    </w:p>
    <w:p w14:paraId="5CFBA693" w14:textId="77777777" w:rsidR="005A7651" w:rsidRDefault="005A7651" w:rsidP="000D0AB9">
      <w:pPr>
        <w:pStyle w:val="ListParagraph"/>
        <w:numPr>
          <w:ilvl w:val="1"/>
          <w:numId w:val="5"/>
        </w:numPr>
      </w:pPr>
      <w:r>
        <w:t>Other Key personnel</w:t>
      </w:r>
    </w:p>
    <w:p w14:paraId="3D32365C" w14:textId="77777777" w:rsidR="005A7651" w:rsidRDefault="005A7651" w:rsidP="000D0AB9">
      <w:pPr>
        <w:pStyle w:val="ListParagraph"/>
        <w:numPr>
          <w:ilvl w:val="1"/>
          <w:numId w:val="5"/>
        </w:numPr>
      </w:pPr>
      <w:r>
        <w:t>Period of Performance</w:t>
      </w:r>
    </w:p>
    <w:p w14:paraId="4A5C42E9" w14:textId="5B2CFC1B" w:rsidR="005A7651" w:rsidRDefault="005A7651" w:rsidP="000D0AB9">
      <w:pPr>
        <w:pStyle w:val="ListParagraph"/>
        <w:numPr>
          <w:ilvl w:val="1"/>
          <w:numId w:val="5"/>
        </w:numPr>
      </w:pPr>
      <w:r>
        <w:t>Project Title</w:t>
      </w:r>
    </w:p>
    <w:p w14:paraId="7672C20D" w14:textId="0C236465" w:rsidR="008E201F" w:rsidRDefault="008E201F" w:rsidP="000D0AB9">
      <w:pPr>
        <w:pStyle w:val="ListParagraph"/>
        <w:numPr>
          <w:ilvl w:val="1"/>
          <w:numId w:val="5"/>
        </w:numPr>
      </w:pPr>
      <w:r>
        <w:t>Materials to be used in project</w:t>
      </w:r>
      <w:r w:rsidR="00143956">
        <w:t xml:space="preserve"> (and if they are subject to a Material Transfer Agreement)</w:t>
      </w:r>
    </w:p>
    <w:p w14:paraId="67D085A7" w14:textId="1D26C5B5" w:rsidR="008E201F" w:rsidRDefault="008E201F" w:rsidP="000D0AB9">
      <w:pPr>
        <w:pStyle w:val="ListParagraph"/>
        <w:numPr>
          <w:ilvl w:val="1"/>
          <w:numId w:val="5"/>
        </w:numPr>
      </w:pPr>
      <w:r>
        <w:t>Connection (if any) to existing research projects, technologies, or agreements</w:t>
      </w:r>
    </w:p>
    <w:p w14:paraId="507FB62A" w14:textId="77777777" w:rsidR="000D0AB9" w:rsidRDefault="000D0AB9" w:rsidP="000D0AB9">
      <w:pPr>
        <w:pStyle w:val="ListParagraph"/>
        <w:ind w:left="1440"/>
      </w:pPr>
    </w:p>
    <w:p w14:paraId="4E7C5B13" w14:textId="77777777" w:rsidR="005A7651" w:rsidRDefault="005A7651" w:rsidP="000D0AB9">
      <w:pPr>
        <w:pStyle w:val="ListParagraph"/>
        <w:numPr>
          <w:ilvl w:val="0"/>
          <w:numId w:val="5"/>
        </w:numPr>
      </w:pPr>
      <w:r>
        <w:t>Location where the work will be performed</w:t>
      </w:r>
    </w:p>
    <w:p w14:paraId="13BEBE5F" w14:textId="77777777" w:rsidR="005A7651" w:rsidRDefault="005A7651" w:rsidP="005A7651">
      <w:pPr>
        <w:pStyle w:val="ListParagraph"/>
      </w:pPr>
    </w:p>
    <w:p w14:paraId="179A0D85" w14:textId="77777777" w:rsidR="005A7651" w:rsidRDefault="005A7651" w:rsidP="000D0AB9">
      <w:pPr>
        <w:pStyle w:val="ListParagraph"/>
        <w:numPr>
          <w:ilvl w:val="0"/>
          <w:numId w:val="5"/>
        </w:numPr>
      </w:pPr>
      <w:r>
        <w:t>Scope of Work</w:t>
      </w:r>
    </w:p>
    <w:p w14:paraId="0C0553FA" w14:textId="6ABDACE7" w:rsidR="00587990" w:rsidRPr="00E71C45" w:rsidRDefault="00587990" w:rsidP="003351A5">
      <w:pPr>
        <w:spacing w:after="0" w:line="240" w:lineRule="auto"/>
        <w:ind w:left="720"/>
        <w:rPr>
          <w:rFonts w:ascii="Calibri" w:eastAsia="Times New Roman" w:hAnsi="Calibri" w:cs="Calibri"/>
          <w:color w:val="000000"/>
        </w:rPr>
      </w:pPr>
      <w:r w:rsidRPr="00E71C45">
        <w:rPr>
          <w:rFonts w:ascii="Calibri" w:eastAsia="Times New Roman" w:hAnsi="Calibri" w:cs="Calibri"/>
          <w:color w:val="000000"/>
        </w:rPr>
        <w:t xml:space="preserve">A succinct statement of the purpose of the agreement.  It should outline results that Einstein expects and/or identify the benefits to the program that is contemplated. An overall, non-technical description of the work to be performed.  It expands on the projected objectives, but does not attempt to detail all of the work required. It </w:t>
      </w:r>
      <w:r w:rsidR="00994943">
        <w:rPr>
          <w:rFonts w:ascii="Calibri" w:eastAsia="Times New Roman" w:hAnsi="Calibri" w:cs="Calibri"/>
          <w:color w:val="000000"/>
        </w:rPr>
        <w:t>summarizes</w:t>
      </w:r>
      <w:r w:rsidRPr="00E71C45">
        <w:rPr>
          <w:rFonts w:ascii="Calibri" w:eastAsia="Times New Roman" w:hAnsi="Calibri" w:cs="Calibri"/>
          <w:color w:val="000000"/>
        </w:rPr>
        <w:t xml:space="preserve"> what is expected of the performance of the work. </w:t>
      </w:r>
    </w:p>
    <w:p w14:paraId="43735B30" w14:textId="77777777" w:rsidR="00E827A9" w:rsidRDefault="00E827A9" w:rsidP="003351A5">
      <w:pPr>
        <w:ind w:left="720"/>
        <w:rPr>
          <w:b/>
        </w:rPr>
      </w:pPr>
    </w:p>
    <w:p w14:paraId="3B7E1136" w14:textId="77777777" w:rsidR="00E827A9" w:rsidRDefault="00E827A9" w:rsidP="003351A5">
      <w:pPr>
        <w:ind w:left="720"/>
      </w:pPr>
      <w:r w:rsidRPr="00E827A9">
        <w:rPr>
          <w:b/>
        </w:rPr>
        <w:t>Example:</w:t>
      </w:r>
      <w:r>
        <w:t xml:space="preserve"> Dr. Smith and the GOVT Site A component will have primary responsibility for recruiting patients with mild traumatic brain injury due to blast exposure and patients with posttraumatic stress disorder without a history of traumatic brain injury. These subjects will receive cognitive and psychiatric assessments at Site A and MRI studies at the Einstein. It is anticipated that over the course of the next three years at least 50 subjects with </w:t>
      </w:r>
      <w:proofErr w:type="spellStart"/>
      <w:r>
        <w:t>mTBI</w:t>
      </w:r>
      <w:proofErr w:type="spellEnd"/>
      <w:r>
        <w:t xml:space="preserve"> and 25 subjects with PTSD fulfilling inclusion/exclusion criteria for MR studies will be recruited and studied. In addition to recruiting the subjects, the Site A component will be responsible for administering a standardized battery of tests to assess cognitive function. The Site A component will also be responsible for performing tests for PTSD, depression and anxiety. The de-identified results of these tests will be provided to Dr. Jones and his staff for correlation with the MRI data. To facilitate the work, the scope of the work for the first year has been divided into 2 phases. 1. In the first phase Dr. Smith and her associates will: a. Obtain IRB approval for studying patients under this protocol. b. Establish the cognitive assessment protocols 2. In the second phase Dr. Smith and her group will begin a. Recruitment of patients b. Carry out the cognitive assessment battery developed in the first phase.</w:t>
      </w:r>
    </w:p>
    <w:p w14:paraId="6E67171C" w14:textId="382A7403" w:rsidR="00E827A9" w:rsidRDefault="005A7651" w:rsidP="003351A5">
      <w:pPr>
        <w:pStyle w:val="ListParagraph"/>
        <w:numPr>
          <w:ilvl w:val="0"/>
          <w:numId w:val="5"/>
        </w:numPr>
      </w:pPr>
      <w:r>
        <w:t xml:space="preserve">Deliverables – </w:t>
      </w:r>
      <w:r w:rsidR="00E827A9" w:rsidRPr="00E827A9">
        <w:t>Defines and describes, in table form, the deliverables, the quantity required, and the schedule/due d</w:t>
      </w:r>
      <w:r w:rsidR="00E827A9">
        <w:t>ate. Include payment amount if it</w:t>
      </w:r>
      <w:r w:rsidR="00E827A9" w:rsidRPr="00E827A9">
        <w:t xml:space="preserve"> is fixed price</w:t>
      </w:r>
      <w:r w:rsidR="00994943">
        <w:t xml:space="preserve"> or costs if payment is variable</w:t>
      </w:r>
      <w:r w:rsidR="0049475C">
        <w:t>.</w:t>
      </w:r>
      <w:r w:rsidR="00143956">
        <w:t xml:space="preserve">  For Industry Sponsored Agreements, the Office of Biotechnology and Business Development (OBBD) will help with a fixed payment schedule.  Please work with the OBBD and share with them the non-cancellable costs (e.g., salary, materials required at start of project, etc.) related to the research project.</w:t>
      </w:r>
    </w:p>
    <w:p w14:paraId="03EE8CDB" w14:textId="77777777" w:rsidR="003351A5" w:rsidRDefault="003351A5">
      <w:r>
        <w:br w:type="page"/>
      </w:r>
    </w:p>
    <w:p w14:paraId="719E4E73" w14:textId="77777777" w:rsidR="003351A5" w:rsidRDefault="003351A5" w:rsidP="003351A5">
      <w:pPr>
        <w:pStyle w:val="ListParagraph"/>
      </w:pPr>
    </w:p>
    <w:p w14:paraId="61348803" w14:textId="77777777" w:rsidR="00E827A9" w:rsidRDefault="00E827A9" w:rsidP="00E827A9">
      <w:pPr>
        <w:pStyle w:val="ListParagraph"/>
        <w:autoSpaceDE w:val="0"/>
        <w:autoSpaceDN w:val="0"/>
        <w:adjustRightInd w:val="0"/>
        <w:spacing w:after="0" w:line="240" w:lineRule="auto"/>
      </w:pPr>
    </w:p>
    <w:p w14:paraId="3752CD35" w14:textId="77777777" w:rsidR="0049475C" w:rsidRDefault="00173EBC" w:rsidP="00452FC5">
      <w:pPr>
        <w:pStyle w:val="ListParagraph"/>
        <w:autoSpaceDE w:val="0"/>
        <w:autoSpaceDN w:val="0"/>
        <w:adjustRightInd w:val="0"/>
        <w:spacing w:after="0" w:line="240" w:lineRule="auto"/>
        <w:jc w:val="center"/>
        <w:rPr>
          <w:b/>
        </w:rPr>
      </w:pPr>
      <w:r>
        <w:rPr>
          <w:b/>
        </w:rPr>
        <w:t>Sample Milestone</w:t>
      </w:r>
      <w:r w:rsidR="00452FC5" w:rsidRPr="00452FC5">
        <w:rPr>
          <w:b/>
        </w:rPr>
        <w:t xml:space="preserve"> Schedule</w:t>
      </w:r>
      <w:r w:rsidR="0049475C">
        <w:rPr>
          <w:b/>
        </w:rPr>
        <w:t xml:space="preserve"> </w:t>
      </w:r>
    </w:p>
    <w:p w14:paraId="7E97363A" w14:textId="77777777" w:rsidR="0049475C" w:rsidRPr="0049475C" w:rsidRDefault="0049475C" w:rsidP="0049475C">
      <w:pPr>
        <w:autoSpaceDE w:val="0"/>
        <w:autoSpaceDN w:val="0"/>
        <w:adjustRightInd w:val="0"/>
        <w:spacing w:after="0" w:line="240" w:lineRule="auto"/>
        <w:rPr>
          <w:b/>
        </w:rPr>
      </w:pPr>
    </w:p>
    <w:p w14:paraId="0A085652" w14:textId="77777777" w:rsidR="00452FC5" w:rsidRDefault="00452FC5" w:rsidP="00E827A9">
      <w:pPr>
        <w:pStyle w:val="ListParagraph"/>
        <w:autoSpaceDE w:val="0"/>
        <w:autoSpaceDN w:val="0"/>
        <w:adjustRightInd w:val="0"/>
        <w:spacing w:after="0" w:line="240" w:lineRule="auto"/>
      </w:pPr>
    </w:p>
    <w:tbl>
      <w:tblPr>
        <w:tblStyle w:val="TableGrid"/>
        <w:tblW w:w="0" w:type="auto"/>
        <w:tblInd w:w="720" w:type="dxa"/>
        <w:tblLook w:val="04A0" w:firstRow="1" w:lastRow="0" w:firstColumn="1" w:lastColumn="0" w:noHBand="0" w:noVBand="1"/>
      </w:tblPr>
      <w:tblGrid>
        <w:gridCol w:w="1140"/>
        <w:gridCol w:w="1555"/>
        <w:gridCol w:w="5310"/>
        <w:gridCol w:w="1530"/>
      </w:tblGrid>
      <w:tr w:rsidR="00E827A9" w14:paraId="05062963" w14:textId="77777777" w:rsidTr="00452FC5">
        <w:tc>
          <w:tcPr>
            <w:tcW w:w="1140" w:type="dxa"/>
            <w:shd w:val="clear" w:color="auto" w:fill="BFBFBF" w:themeFill="background1" w:themeFillShade="BF"/>
          </w:tcPr>
          <w:p w14:paraId="7CE43604" w14:textId="77777777" w:rsidR="00E827A9" w:rsidRPr="00E827A9" w:rsidRDefault="00E827A9" w:rsidP="00E827A9">
            <w:pPr>
              <w:pStyle w:val="ListParagraph"/>
              <w:autoSpaceDE w:val="0"/>
              <w:autoSpaceDN w:val="0"/>
              <w:adjustRightInd w:val="0"/>
              <w:ind w:left="0"/>
              <w:jc w:val="center"/>
              <w:rPr>
                <w:b/>
              </w:rPr>
            </w:pPr>
            <w:r w:rsidRPr="00E827A9">
              <w:rPr>
                <w:b/>
              </w:rPr>
              <w:t>Milestone #</w:t>
            </w:r>
          </w:p>
        </w:tc>
        <w:tc>
          <w:tcPr>
            <w:tcW w:w="1555" w:type="dxa"/>
            <w:shd w:val="clear" w:color="auto" w:fill="BFBFBF" w:themeFill="background1" w:themeFillShade="BF"/>
          </w:tcPr>
          <w:p w14:paraId="59F93A6D" w14:textId="77777777" w:rsidR="00E827A9" w:rsidRPr="00E827A9" w:rsidRDefault="00E827A9" w:rsidP="00E827A9">
            <w:pPr>
              <w:pStyle w:val="ListParagraph"/>
              <w:autoSpaceDE w:val="0"/>
              <w:autoSpaceDN w:val="0"/>
              <w:adjustRightInd w:val="0"/>
              <w:ind w:left="0"/>
              <w:jc w:val="center"/>
              <w:rPr>
                <w:b/>
              </w:rPr>
            </w:pPr>
            <w:r w:rsidRPr="00E827A9">
              <w:rPr>
                <w:b/>
              </w:rPr>
              <w:t>Due Date</w:t>
            </w:r>
          </w:p>
        </w:tc>
        <w:tc>
          <w:tcPr>
            <w:tcW w:w="5310" w:type="dxa"/>
            <w:shd w:val="clear" w:color="auto" w:fill="BFBFBF" w:themeFill="background1" w:themeFillShade="BF"/>
          </w:tcPr>
          <w:p w14:paraId="494354EB" w14:textId="77777777" w:rsidR="00E827A9" w:rsidRPr="00E827A9" w:rsidRDefault="00E827A9" w:rsidP="00E827A9">
            <w:pPr>
              <w:pStyle w:val="ListParagraph"/>
              <w:autoSpaceDE w:val="0"/>
              <w:autoSpaceDN w:val="0"/>
              <w:adjustRightInd w:val="0"/>
              <w:ind w:left="0"/>
              <w:jc w:val="center"/>
              <w:rPr>
                <w:b/>
              </w:rPr>
            </w:pPr>
            <w:r w:rsidRPr="00E827A9">
              <w:rPr>
                <w:b/>
              </w:rPr>
              <w:t>Deliverables</w:t>
            </w:r>
          </w:p>
        </w:tc>
        <w:tc>
          <w:tcPr>
            <w:tcW w:w="1530" w:type="dxa"/>
            <w:shd w:val="clear" w:color="auto" w:fill="BFBFBF" w:themeFill="background1" w:themeFillShade="BF"/>
          </w:tcPr>
          <w:p w14:paraId="371D95BC" w14:textId="77777777" w:rsidR="00E827A9" w:rsidRPr="00E827A9" w:rsidRDefault="00E827A9" w:rsidP="00E827A9">
            <w:pPr>
              <w:pStyle w:val="ListParagraph"/>
              <w:autoSpaceDE w:val="0"/>
              <w:autoSpaceDN w:val="0"/>
              <w:adjustRightInd w:val="0"/>
              <w:ind w:left="0"/>
              <w:jc w:val="center"/>
              <w:rPr>
                <w:b/>
              </w:rPr>
            </w:pPr>
            <w:r w:rsidRPr="00E827A9">
              <w:rPr>
                <w:b/>
              </w:rPr>
              <w:t>Amount</w:t>
            </w:r>
          </w:p>
        </w:tc>
      </w:tr>
      <w:tr w:rsidR="00E827A9" w14:paraId="21DB73F9" w14:textId="77777777" w:rsidTr="00452FC5">
        <w:tc>
          <w:tcPr>
            <w:tcW w:w="1140" w:type="dxa"/>
          </w:tcPr>
          <w:p w14:paraId="586E7781" w14:textId="77777777" w:rsidR="00E827A9" w:rsidRDefault="00E827A9" w:rsidP="00E827A9">
            <w:pPr>
              <w:pStyle w:val="ListParagraph"/>
              <w:autoSpaceDE w:val="0"/>
              <w:autoSpaceDN w:val="0"/>
              <w:adjustRightInd w:val="0"/>
              <w:ind w:left="0"/>
              <w:jc w:val="center"/>
            </w:pPr>
            <w:r>
              <w:t>1</w:t>
            </w:r>
          </w:p>
        </w:tc>
        <w:tc>
          <w:tcPr>
            <w:tcW w:w="1555" w:type="dxa"/>
          </w:tcPr>
          <w:p w14:paraId="20EB8714" w14:textId="77777777" w:rsidR="00E827A9" w:rsidRDefault="00E827A9" w:rsidP="00E827A9">
            <w:pPr>
              <w:pStyle w:val="ListParagraph"/>
              <w:autoSpaceDE w:val="0"/>
              <w:autoSpaceDN w:val="0"/>
              <w:adjustRightInd w:val="0"/>
              <w:ind w:left="0"/>
            </w:pPr>
            <w:r>
              <w:t>Jun 10, 2021</w:t>
            </w:r>
          </w:p>
        </w:tc>
        <w:tc>
          <w:tcPr>
            <w:tcW w:w="5310" w:type="dxa"/>
          </w:tcPr>
          <w:p w14:paraId="06A9BD5F" w14:textId="77777777" w:rsidR="00E827A9" w:rsidRDefault="00E827A9" w:rsidP="00E827A9">
            <w:pPr>
              <w:pStyle w:val="ListParagraph"/>
              <w:numPr>
                <w:ilvl w:val="0"/>
                <w:numId w:val="9"/>
              </w:numPr>
              <w:autoSpaceDE w:val="0"/>
              <w:autoSpaceDN w:val="0"/>
              <w:adjustRightInd w:val="0"/>
            </w:pPr>
            <w:r>
              <w:t xml:space="preserve">Technical report detailing progress on data collection, management issues and data output. </w:t>
            </w:r>
          </w:p>
          <w:p w14:paraId="38D29458" w14:textId="77777777" w:rsidR="00E827A9" w:rsidRDefault="00E827A9" w:rsidP="00E827A9">
            <w:pPr>
              <w:pStyle w:val="ListParagraph"/>
              <w:numPr>
                <w:ilvl w:val="0"/>
                <w:numId w:val="9"/>
              </w:numPr>
              <w:autoSpaceDE w:val="0"/>
              <w:autoSpaceDN w:val="0"/>
              <w:adjustRightInd w:val="0"/>
            </w:pPr>
            <w:r>
              <w:t>Cleaning data on monthly reporting</w:t>
            </w:r>
          </w:p>
          <w:p w14:paraId="0191BB9B" w14:textId="77777777" w:rsidR="00E827A9" w:rsidRDefault="00E827A9" w:rsidP="00E827A9">
            <w:pPr>
              <w:pStyle w:val="ListParagraph"/>
              <w:numPr>
                <w:ilvl w:val="0"/>
                <w:numId w:val="9"/>
              </w:numPr>
              <w:autoSpaceDE w:val="0"/>
              <w:autoSpaceDN w:val="0"/>
              <w:adjustRightInd w:val="0"/>
            </w:pPr>
            <w:r>
              <w:t xml:space="preserve">Report on costing. </w:t>
            </w:r>
          </w:p>
        </w:tc>
        <w:tc>
          <w:tcPr>
            <w:tcW w:w="1530" w:type="dxa"/>
          </w:tcPr>
          <w:p w14:paraId="4ED6CF4C" w14:textId="77777777" w:rsidR="00E827A9" w:rsidRDefault="00E827A9" w:rsidP="00E827A9">
            <w:pPr>
              <w:pStyle w:val="ListParagraph"/>
              <w:autoSpaceDE w:val="0"/>
              <w:autoSpaceDN w:val="0"/>
              <w:adjustRightInd w:val="0"/>
              <w:ind w:left="0"/>
            </w:pPr>
            <w:r>
              <w:t>25% - 22,443</w:t>
            </w:r>
          </w:p>
        </w:tc>
      </w:tr>
      <w:tr w:rsidR="00E827A9" w14:paraId="5B0C523A" w14:textId="77777777" w:rsidTr="00452FC5">
        <w:tc>
          <w:tcPr>
            <w:tcW w:w="1140" w:type="dxa"/>
          </w:tcPr>
          <w:p w14:paraId="7AFCE2D5" w14:textId="77777777" w:rsidR="00E827A9" w:rsidRDefault="00E827A9" w:rsidP="00E827A9">
            <w:pPr>
              <w:pStyle w:val="ListParagraph"/>
              <w:autoSpaceDE w:val="0"/>
              <w:autoSpaceDN w:val="0"/>
              <w:adjustRightInd w:val="0"/>
              <w:ind w:left="0"/>
              <w:jc w:val="center"/>
            </w:pPr>
            <w:r>
              <w:t>2</w:t>
            </w:r>
          </w:p>
        </w:tc>
        <w:tc>
          <w:tcPr>
            <w:tcW w:w="1555" w:type="dxa"/>
          </w:tcPr>
          <w:p w14:paraId="5296FB3E" w14:textId="77777777" w:rsidR="00E827A9" w:rsidRDefault="00E827A9" w:rsidP="00E827A9">
            <w:pPr>
              <w:pStyle w:val="ListParagraph"/>
              <w:autoSpaceDE w:val="0"/>
              <w:autoSpaceDN w:val="0"/>
              <w:adjustRightInd w:val="0"/>
              <w:ind w:left="0"/>
            </w:pPr>
            <w:r>
              <w:t>Jul 15, 2021</w:t>
            </w:r>
          </w:p>
        </w:tc>
        <w:tc>
          <w:tcPr>
            <w:tcW w:w="5310" w:type="dxa"/>
          </w:tcPr>
          <w:p w14:paraId="053148BA" w14:textId="77777777" w:rsidR="00E827A9" w:rsidRDefault="00452FC5" w:rsidP="00452FC5">
            <w:pPr>
              <w:pStyle w:val="ListParagraph"/>
              <w:numPr>
                <w:ilvl w:val="0"/>
                <w:numId w:val="10"/>
              </w:numPr>
              <w:autoSpaceDE w:val="0"/>
              <w:autoSpaceDN w:val="0"/>
              <w:adjustRightInd w:val="0"/>
            </w:pPr>
            <w:r>
              <w:t xml:space="preserve">Cleaned data based on records of pregnancies, births and deaths. </w:t>
            </w:r>
          </w:p>
          <w:p w14:paraId="4EBFBAD2" w14:textId="77777777" w:rsidR="00452FC5" w:rsidRDefault="00452FC5" w:rsidP="00452FC5">
            <w:pPr>
              <w:pStyle w:val="ListParagraph"/>
              <w:numPr>
                <w:ilvl w:val="0"/>
                <w:numId w:val="10"/>
              </w:numPr>
              <w:autoSpaceDE w:val="0"/>
              <w:autoSpaceDN w:val="0"/>
              <w:adjustRightInd w:val="0"/>
            </w:pPr>
            <w:r>
              <w:t xml:space="preserve">Updated technical report including supervision visits and issues discussed. </w:t>
            </w:r>
          </w:p>
          <w:p w14:paraId="2C6EED6C" w14:textId="77777777" w:rsidR="00452FC5" w:rsidRDefault="00452FC5" w:rsidP="00452FC5">
            <w:pPr>
              <w:pStyle w:val="ListParagraph"/>
              <w:numPr>
                <w:ilvl w:val="0"/>
                <w:numId w:val="10"/>
              </w:numPr>
              <w:autoSpaceDE w:val="0"/>
              <w:autoSpaceDN w:val="0"/>
              <w:adjustRightInd w:val="0"/>
            </w:pPr>
            <w:r>
              <w:t xml:space="preserve">Updated report on costing. </w:t>
            </w:r>
          </w:p>
        </w:tc>
        <w:tc>
          <w:tcPr>
            <w:tcW w:w="1530" w:type="dxa"/>
          </w:tcPr>
          <w:p w14:paraId="369707A0" w14:textId="77777777" w:rsidR="00E827A9" w:rsidRDefault="00E827A9" w:rsidP="00E827A9">
            <w:pPr>
              <w:pStyle w:val="ListParagraph"/>
              <w:autoSpaceDE w:val="0"/>
              <w:autoSpaceDN w:val="0"/>
              <w:adjustRightInd w:val="0"/>
              <w:ind w:left="0"/>
            </w:pPr>
            <w:r>
              <w:t>20% - 17,956</w:t>
            </w:r>
          </w:p>
        </w:tc>
      </w:tr>
      <w:tr w:rsidR="00E827A9" w14:paraId="53095228" w14:textId="77777777" w:rsidTr="00452FC5">
        <w:tc>
          <w:tcPr>
            <w:tcW w:w="1140" w:type="dxa"/>
          </w:tcPr>
          <w:p w14:paraId="02BB5164" w14:textId="77777777" w:rsidR="00E827A9" w:rsidRDefault="00E827A9" w:rsidP="00E827A9">
            <w:pPr>
              <w:pStyle w:val="ListParagraph"/>
              <w:autoSpaceDE w:val="0"/>
              <w:autoSpaceDN w:val="0"/>
              <w:adjustRightInd w:val="0"/>
              <w:ind w:left="0"/>
              <w:jc w:val="center"/>
            </w:pPr>
            <w:r>
              <w:t>3</w:t>
            </w:r>
          </w:p>
        </w:tc>
        <w:tc>
          <w:tcPr>
            <w:tcW w:w="1555" w:type="dxa"/>
          </w:tcPr>
          <w:p w14:paraId="672E2665" w14:textId="77777777" w:rsidR="00E827A9" w:rsidRDefault="00E827A9" w:rsidP="00E827A9">
            <w:pPr>
              <w:pStyle w:val="ListParagraph"/>
              <w:autoSpaceDE w:val="0"/>
              <w:autoSpaceDN w:val="0"/>
              <w:adjustRightInd w:val="0"/>
              <w:ind w:left="0"/>
            </w:pPr>
            <w:r>
              <w:t>Aug 15, 2021</w:t>
            </w:r>
          </w:p>
        </w:tc>
        <w:tc>
          <w:tcPr>
            <w:tcW w:w="5310" w:type="dxa"/>
          </w:tcPr>
          <w:p w14:paraId="7083CBF4" w14:textId="77777777" w:rsidR="00452FC5" w:rsidRDefault="00452FC5" w:rsidP="00452FC5">
            <w:pPr>
              <w:pStyle w:val="ListParagraph"/>
              <w:numPr>
                <w:ilvl w:val="0"/>
                <w:numId w:val="11"/>
              </w:numPr>
              <w:autoSpaceDE w:val="0"/>
              <w:autoSpaceDN w:val="0"/>
              <w:adjustRightInd w:val="0"/>
            </w:pPr>
            <w:r>
              <w:t xml:space="preserve">Cleaned data based on records of pregnancies, births and deaths. </w:t>
            </w:r>
          </w:p>
          <w:p w14:paraId="0B3449A1" w14:textId="77777777" w:rsidR="00452FC5" w:rsidRDefault="00452FC5" w:rsidP="00452FC5">
            <w:pPr>
              <w:pStyle w:val="ListParagraph"/>
              <w:numPr>
                <w:ilvl w:val="0"/>
                <w:numId w:val="11"/>
              </w:numPr>
              <w:autoSpaceDE w:val="0"/>
              <w:autoSpaceDN w:val="0"/>
              <w:adjustRightInd w:val="0"/>
            </w:pPr>
            <w:r>
              <w:t xml:space="preserve">Updated technical report including supervision visits and issues discussed. </w:t>
            </w:r>
          </w:p>
          <w:p w14:paraId="6FF94DDF" w14:textId="77777777" w:rsidR="00E827A9" w:rsidRDefault="00452FC5" w:rsidP="00452FC5">
            <w:pPr>
              <w:pStyle w:val="ListParagraph"/>
              <w:numPr>
                <w:ilvl w:val="0"/>
                <w:numId w:val="11"/>
              </w:numPr>
              <w:autoSpaceDE w:val="0"/>
              <w:autoSpaceDN w:val="0"/>
              <w:adjustRightInd w:val="0"/>
            </w:pPr>
            <w:r>
              <w:t>Updated report on costing.</w:t>
            </w:r>
          </w:p>
          <w:p w14:paraId="4A2D608B" w14:textId="77777777" w:rsidR="00452FC5" w:rsidRDefault="00452FC5" w:rsidP="00452FC5">
            <w:pPr>
              <w:pStyle w:val="ListParagraph"/>
              <w:numPr>
                <w:ilvl w:val="0"/>
                <w:numId w:val="11"/>
              </w:numPr>
              <w:autoSpaceDE w:val="0"/>
              <w:autoSpaceDN w:val="0"/>
              <w:adjustRightInd w:val="0"/>
            </w:pPr>
            <w:r>
              <w:t>Financial report</w:t>
            </w:r>
          </w:p>
        </w:tc>
        <w:tc>
          <w:tcPr>
            <w:tcW w:w="1530" w:type="dxa"/>
          </w:tcPr>
          <w:p w14:paraId="49DD8A24" w14:textId="77777777" w:rsidR="00E827A9" w:rsidRDefault="00E827A9" w:rsidP="00E827A9">
            <w:pPr>
              <w:pStyle w:val="ListParagraph"/>
              <w:autoSpaceDE w:val="0"/>
              <w:autoSpaceDN w:val="0"/>
              <w:adjustRightInd w:val="0"/>
              <w:ind w:left="0"/>
            </w:pPr>
            <w:r>
              <w:t>15% - 13,466</w:t>
            </w:r>
          </w:p>
        </w:tc>
      </w:tr>
      <w:tr w:rsidR="00E827A9" w14:paraId="6759E41C" w14:textId="77777777" w:rsidTr="00452FC5">
        <w:tc>
          <w:tcPr>
            <w:tcW w:w="1140" w:type="dxa"/>
          </w:tcPr>
          <w:p w14:paraId="27A1A286" w14:textId="77777777" w:rsidR="00E827A9" w:rsidRDefault="00E827A9" w:rsidP="00E827A9">
            <w:pPr>
              <w:pStyle w:val="ListParagraph"/>
              <w:autoSpaceDE w:val="0"/>
              <w:autoSpaceDN w:val="0"/>
              <w:adjustRightInd w:val="0"/>
              <w:ind w:left="0"/>
              <w:jc w:val="center"/>
            </w:pPr>
            <w:r>
              <w:t>4</w:t>
            </w:r>
          </w:p>
        </w:tc>
        <w:tc>
          <w:tcPr>
            <w:tcW w:w="1555" w:type="dxa"/>
          </w:tcPr>
          <w:p w14:paraId="7EE4A7EC" w14:textId="77777777" w:rsidR="00E827A9" w:rsidRDefault="00E827A9" w:rsidP="00E827A9">
            <w:pPr>
              <w:pStyle w:val="ListParagraph"/>
              <w:autoSpaceDE w:val="0"/>
              <w:autoSpaceDN w:val="0"/>
              <w:adjustRightInd w:val="0"/>
              <w:ind w:left="0"/>
            </w:pPr>
            <w:r>
              <w:t>Sept 15, 2021</w:t>
            </w:r>
          </w:p>
        </w:tc>
        <w:tc>
          <w:tcPr>
            <w:tcW w:w="5310" w:type="dxa"/>
          </w:tcPr>
          <w:p w14:paraId="250B003F" w14:textId="77777777" w:rsidR="00452FC5" w:rsidRDefault="00452FC5" w:rsidP="00452FC5">
            <w:pPr>
              <w:pStyle w:val="ListParagraph"/>
              <w:numPr>
                <w:ilvl w:val="0"/>
                <w:numId w:val="12"/>
              </w:numPr>
              <w:autoSpaceDE w:val="0"/>
              <w:autoSpaceDN w:val="0"/>
              <w:adjustRightInd w:val="0"/>
            </w:pPr>
            <w:r>
              <w:t xml:space="preserve">Cleaned data based on records of pregnancies, births and deaths. </w:t>
            </w:r>
          </w:p>
          <w:p w14:paraId="32153FF0" w14:textId="77777777" w:rsidR="00E827A9" w:rsidRDefault="00452FC5" w:rsidP="00452FC5">
            <w:pPr>
              <w:pStyle w:val="ListParagraph"/>
              <w:numPr>
                <w:ilvl w:val="0"/>
                <w:numId w:val="12"/>
              </w:numPr>
              <w:autoSpaceDE w:val="0"/>
              <w:autoSpaceDN w:val="0"/>
              <w:adjustRightInd w:val="0"/>
            </w:pPr>
            <w:r>
              <w:t>Updated technical report including report of review meeting to be held in August.</w:t>
            </w:r>
          </w:p>
          <w:p w14:paraId="7442A5DD" w14:textId="77777777" w:rsidR="00452FC5" w:rsidRDefault="00452FC5" w:rsidP="00452FC5">
            <w:pPr>
              <w:pStyle w:val="ListParagraph"/>
              <w:numPr>
                <w:ilvl w:val="0"/>
                <w:numId w:val="12"/>
              </w:numPr>
              <w:autoSpaceDE w:val="0"/>
              <w:autoSpaceDN w:val="0"/>
              <w:adjustRightInd w:val="0"/>
            </w:pPr>
            <w:r>
              <w:t>Updated report on costing</w:t>
            </w:r>
          </w:p>
        </w:tc>
        <w:tc>
          <w:tcPr>
            <w:tcW w:w="1530" w:type="dxa"/>
          </w:tcPr>
          <w:p w14:paraId="3BE1FAA8" w14:textId="77777777" w:rsidR="00E827A9" w:rsidRDefault="00E827A9" w:rsidP="00E827A9">
            <w:pPr>
              <w:pStyle w:val="ListParagraph"/>
              <w:autoSpaceDE w:val="0"/>
              <w:autoSpaceDN w:val="0"/>
              <w:adjustRightInd w:val="0"/>
              <w:ind w:left="0"/>
            </w:pPr>
            <w:r>
              <w:t>10% - 8,977</w:t>
            </w:r>
          </w:p>
        </w:tc>
      </w:tr>
      <w:tr w:rsidR="00E827A9" w14:paraId="202AA325" w14:textId="77777777" w:rsidTr="00452FC5">
        <w:tc>
          <w:tcPr>
            <w:tcW w:w="1140" w:type="dxa"/>
          </w:tcPr>
          <w:p w14:paraId="7E90E148" w14:textId="77777777" w:rsidR="00E827A9" w:rsidRDefault="00E827A9" w:rsidP="00E827A9">
            <w:pPr>
              <w:pStyle w:val="ListParagraph"/>
              <w:autoSpaceDE w:val="0"/>
              <w:autoSpaceDN w:val="0"/>
              <w:adjustRightInd w:val="0"/>
              <w:ind w:left="0"/>
              <w:jc w:val="center"/>
            </w:pPr>
            <w:r>
              <w:t>5</w:t>
            </w:r>
          </w:p>
        </w:tc>
        <w:tc>
          <w:tcPr>
            <w:tcW w:w="1555" w:type="dxa"/>
          </w:tcPr>
          <w:p w14:paraId="171F8291" w14:textId="77777777" w:rsidR="00E827A9" w:rsidRDefault="00E827A9" w:rsidP="00E827A9">
            <w:pPr>
              <w:pStyle w:val="ListParagraph"/>
              <w:autoSpaceDE w:val="0"/>
              <w:autoSpaceDN w:val="0"/>
              <w:adjustRightInd w:val="0"/>
              <w:ind w:left="0"/>
            </w:pPr>
            <w:r>
              <w:t>Oct 15, 2021</w:t>
            </w:r>
          </w:p>
        </w:tc>
        <w:tc>
          <w:tcPr>
            <w:tcW w:w="5310" w:type="dxa"/>
          </w:tcPr>
          <w:p w14:paraId="2EE0AE72" w14:textId="77777777" w:rsidR="00452FC5" w:rsidRDefault="00452FC5" w:rsidP="00452FC5">
            <w:pPr>
              <w:pStyle w:val="ListParagraph"/>
              <w:numPr>
                <w:ilvl w:val="0"/>
                <w:numId w:val="13"/>
              </w:numPr>
              <w:autoSpaceDE w:val="0"/>
              <w:autoSpaceDN w:val="0"/>
              <w:adjustRightInd w:val="0"/>
            </w:pPr>
            <w:r>
              <w:t xml:space="preserve">Cleaned data based on records of pregnancies, births and deaths. </w:t>
            </w:r>
          </w:p>
          <w:p w14:paraId="7C9126F9" w14:textId="77777777" w:rsidR="00452FC5" w:rsidRDefault="00452FC5" w:rsidP="00452FC5">
            <w:pPr>
              <w:pStyle w:val="ListParagraph"/>
              <w:numPr>
                <w:ilvl w:val="0"/>
                <w:numId w:val="13"/>
              </w:numPr>
              <w:autoSpaceDE w:val="0"/>
              <w:autoSpaceDN w:val="0"/>
              <w:adjustRightInd w:val="0"/>
            </w:pPr>
            <w:r>
              <w:t xml:space="preserve">Updated technical report including supervision visits and issues discussed. </w:t>
            </w:r>
          </w:p>
          <w:p w14:paraId="67911D4F" w14:textId="77777777" w:rsidR="00452FC5" w:rsidRDefault="00452FC5" w:rsidP="00452FC5">
            <w:pPr>
              <w:pStyle w:val="ListParagraph"/>
              <w:numPr>
                <w:ilvl w:val="0"/>
                <w:numId w:val="13"/>
              </w:numPr>
              <w:autoSpaceDE w:val="0"/>
              <w:autoSpaceDN w:val="0"/>
              <w:adjustRightInd w:val="0"/>
            </w:pPr>
            <w:r>
              <w:t>Updated report on costing.</w:t>
            </w:r>
          </w:p>
          <w:p w14:paraId="451E4D78" w14:textId="77777777" w:rsidR="00E827A9" w:rsidRDefault="00452FC5" w:rsidP="00452FC5">
            <w:pPr>
              <w:pStyle w:val="ListParagraph"/>
              <w:numPr>
                <w:ilvl w:val="0"/>
                <w:numId w:val="13"/>
              </w:numPr>
              <w:autoSpaceDE w:val="0"/>
              <w:autoSpaceDN w:val="0"/>
              <w:adjustRightInd w:val="0"/>
            </w:pPr>
            <w:r>
              <w:t>Financial report</w:t>
            </w:r>
          </w:p>
        </w:tc>
        <w:tc>
          <w:tcPr>
            <w:tcW w:w="1530" w:type="dxa"/>
          </w:tcPr>
          <w:p w14:paraId="368ED268" w14:textId="77777777" w:rsidR="00E827A9" w:rsidRDefault="00E827A9" w:rsidP="00E827A9">
            <w:pPr>
              <w:pStyle w:val="ListParagraph"/>
              <w:autoSpaceDE w:val="0"/>
              <w:autoSpaceDN w:val="0"/>
              <w:adjustRightInd w:val="0"/>
              <w:ind w:left="0"/>
            </w:pPr>
            <w:r>
              <w:t>10% - 8977</w:t>
            </w:r>
          </w:p>
        </w:tc>
      </w:tr>
      <w:tr w:rsidR="00E827A9" w14:paraId="417CF092" w14:textId="77777777" w:rsidTr="00452FC5">
        <w:tc>
          <w:tcPr>
            <w:tcW w:w="1140" w:type="dxa"/>
          </w:tcPr>
          <w:p w14:paraId="1EC1813C" w14:textId="77777777" w:rsidR="00E827A9" w:rsidRDefault="00E827A9" w:rsidP="00E827A9">
            <w:pPr>
              <w:pStyle w:val="ListParagraph"/>
              <w:autoSpaceDE w:val="0"/>
              <w:autoSpaceDN w:val="0"/>
              <w:adjustRightInd w:val="0"/>
              <w:ind w:left="0"/>
              <w:jc w:val="center"/>
            </w:pPr>
            <w:r>
              <w:t>6</w:t>
            </w:r>
          </w:p>
        </w:tc>
        <w:tc>
          <w:tcPr>
            <w:tcW w:w="1555" w:type="dxa"/>
          </w:tcPr>
          <w:p w14:paraId="00879685" w14:textId="77777777" w:rsidR="00E827A9" w:rsidRDefault="00E827A9" w:rsidP="00E827A9">
            <w:pPr>
              <w:pStyle w:val="ListParagraph"/>
              <w:autoSpaceDE w:val="0"/>
              <w:autoSpaceDN w:val="0"/>
              <w:adjustRightInd w:val="0"/>
              <w:ind w:left="0"/>
            </w:pPr>
            <w:r>
              <w:t>Nov 15, 2021</w:t>
            </w:r>
          </w:p>
        </w:tc>
        <w:tc>
          <w:tcPr>
            <w:tcW w:w="5310" w:type="dxa"/>
          </w:tcPr>
          <w:p w14:paraId="6CA616E0" w14:textId="77777777" w:rsidR="00452FC5" w:rsidRDefault="00452FC5" w:rsidP="00452FC5">
            <w:pPr>
              <w:pStyle w:val="ListParagraph"/>
              <w:numPr>
                <w:ilvl w:val="0"/>
                <w:numId w:val="14"/>
              </w:numPr>
              <w:autoSpaceDE w:val="0"/>
              <w:autoSpaceDN w:val="0"/>
              <w:adjustRightInd w:val="0"/>
            </w:pPr>
            <w:r>
              <w:t xml:space="preserve">Cleaned data based on records of pregnancies, births and deaths. </w:t>
            </w:r>
          </w:p>
          <w:p w14:paraId="3AC86FCF" w14:textId="77777777" w:rsidR="00452FC5" w:rsidRDefault="00452FC5" w:rsidP="00452FC5">
            <w:pPr>
              <w:pStyle w:val="ListParagraph"/>
              <w:numPr>
                <w:ilvl w:val="0"/>
                <w:numId w:val="14"/>
              </w:numPr>
              <w:autoSpaceDE w:val="0"/>
              <w:autoSpaceDN w:val="0"/>
              <w:adjustRightInd w:val="0"/>
            </w:pPr>
            <w:r>
              <w:t xml:space="preserve">Updated technical report including supervision visits and issues discussed. </w:t>
            </w:r>
          </w:p>
          <w:p w14:paraId="367634E3" w14:textId="77777777" w:rsidR="00E827A9" w:rsidRDefault="00452FC5" w:rsidP="00452FC5">
            <w:pPr>
              <w:pStyle w:val="ListParagraph"/>
              <w:numPr>
                <w:ilvl w:val="0"/>
                <w:numId w:val="14"/>
              </w:numPr>
              <w:autoSpaceDE w:val="0"/>
              <w:autoSpaceDN w:val="0"/>
              <w:adjustRightInd w:val="0"/>
            </w:pPr>
            <w:r>
              <w:t>Updated report on costing.</w:t>
            </w:r>
          </w:p>
        </w:tc>
        <w:tc>
          <w:tcPr>
            <w:tcW w:w="1530" w:type="dxa"/>
          </w:tcPr>
          <w:p w14:paraId="6FD7B663" w14:textId="77777777" w:rsidR="00E827A9" w:rsidRDefault="00E827A9" w:rsidP="00E827A9">
            <w:pPr>
              <w:pStyle w:val="ListParagraph"/>
              <w:autoSpaceDE w:val="0"/>
              <w:autoSpaceDN w:val="0"/>
              <w:adjustRightInd w:val="0"/>
              <w:ind w:left="0"/>
            </w:pPr>
            <w:r>
              <w:t>10% - 8978</w:t>
            </w:r>
          </w:p>
        </w:tc>
      </w:tr>
      <w:tr w:rsidR="00E827A9" w14:paraId="6E08B7FB" w14:textId="77777777" w:rsidTr="00452FC5">
        <w:tc>
          <w:tcPr>
            <w:tcW w:w="1140" w:type="dxa"/>
          </w:tcPr>
          <w:p w14:paraId="7125ED93" w14:textId="77777777" w:rsidR="00E827A9" w:rsidRDefault="00E827A9" w:rsidP="00E827A9">
            <w:pPr>
              <w:pStyle w:val="ListParagraph"/>
              <w:autoSpaceDE w:val="0"/>
              <w:autoSpaceDN w:val="0"/>
              <w:adjustRightInd w:val="0"/>
              <w:ind w:left="0"/>
              <w:jc w:val="center"/>
            </w:pPr>
            <w:r>
              <w:t>7</w:t>
            </w:r>
          </w:p>
        </w:tc>
        <w:tc>
          <w:tcPr>
            <w:tcW w:w="1555" w:type="dxa"/>
          </w:tcPr>
          <w:p w14:paraId="571806C1" w14:textId="77777777" w:rsidR="00E827A9" w:rsidRDefault="00E827A9" w:rsidP="00E827A9">
            <w:pPr>
              <w:pStyle w:val="ListParagraph"/>
              <w:autoSpaceDE w:val="0"/>
              <w:autoSpaceDN w:val="0"/>
              <w:adjustRightInd w:val="0"/>
              <w:ind w:left="0"/>
            </w:pPr>
            <w:r>
              <w:t>Dec 15, 2021</w:t>
            </w:r>
          </w:p>
        </w:tc>
        <w:tc>
          <w:tcPr>
            <w:tcW w:w="5310" w:type="dxa"/>
          </w:tcPr>
          <w:p w14:paraId="4FC7F8BF" w14:textId="77777777" w:rsidR="00452FC5" w:rsidRDefault="00452FC5" w:rsidP="00452FC5">
            <w:pPr>
              <w:pStyle w:val="ListParagraph"/>
              <w:numPr>
                <w:ilvl w:val="0"/>
                <w:numId w:val="15"/>
              </w:numPr>
              <w:autoSpaceDE w:val="0"/>
              <w:autoSpaceDN w:val="0"/>
              <w:adjustRightInd w:val="0"/>
            </w:pPr>
            <w:r>
              <w:t xml:space="preserve">Cleaned data based on records of pregnancies, births and deaths. </w:t>
            </w:r>
          </w:p>
          <w:p w14:paraId="459EA109" w14:textId="77777777" w:rsidR="00452FC5" w:rsidRDefault="00452FC5" w:rsidP="00452FC5">
            <w:pPr>
              <w:pStyle w:val="ListParagraph"/>
              <w:numPr>
                <w:ilvl w:val="0"/>
                <w:numId w:val="15"/>
              </w:numPr>
              <w:autoSpaceDE w:val="0"/>
              <w:autoSpaceDN w:val="0"/>
              <w:adjustRightInd w:val="0"/>
            </w:pPr>
            <w:r>
              <w:t xml:space="preserve">Updated technical report including supervision visits and issues discussed. </w:t>
            </w:r>
          </w:p>
          <w:p w14:paraId="7194B474" w14:textId="77777777" w:rsidR="00452FC5" w:rsidRDefault="00452FC5" w:rsidP="00452FC5">
            <w:pPr>
              <w:pStyle w:val="ListParagraph"/>
              <w:numPr>
                <w:ilvl w:val="0"/>
                <w:numId w:val="15"/>
              </w:numPr>
              <w:autoSpaceDE w:val="0"/>
              <w:autoSpaceDN w:val="0"/>
              <w:adjustRightInd w:val="0"/>
            </w:pPr>
            <w:r>
              <w:t>Updated report on RMM costing.</w:t>
            </w:r>
          </w:p>
          <w:p w14:paraId="70DBAC57" w14:textId="77777777" w:rsidR="00E827A9" w:rsidRDefault="00452FC5" w:rsidP="00452FC5">
            <w:pPr>
              <w:pStyle w:val="ListParagraph"/>
              <w:numPr>
                <w:ilvl w:val="0"/>
                <w:numId w:val="15"/>
              </w:numPr>
              <w:autoSpaceDE w:val="0"/>
              <w:autoSpaceDN w:val="0"/>
              <w:adjustRightInd w:val="0"/>
            </w:pPr>
            <w:r>
              <w:t>Financial report</w:t>
            </w:r>
          </w:p>
        </w:tc>
        <w:tc>
          <w:tcPr>
            <w:tcW w:w="1530" w:type="dxa"/>
          </w:tcPr>
          <w:p w14:paraId="366F7C85" w14:textId="77777777" w:rsidR="00E827A9" w:rsidRDefault="00E827A9" w:rsidP="00E827A9">
            <w:pPr>
              <w:pStyle w:val="ListParagraph"/>
              <w:autoSpaceDE w:val="0"/>
              <w:autoSpaceDN w:val="0"/>
              <w:adjustRightInd w:val="0"/>
              <w:ind w:left="0"/>
            </w:pPr>
            <w:r>
              <w:t>10% - 8978</w:t>
            </w:r>
          </w:p>
        </w:tc>
      </w:tr>
    </w:tbl>
    <w:p w14:paraId="5F8704D4" w14:textId="77777777" w:rsidR="00E827A9" w:rsidRDefault="00E827A9" w:rsidP="00E827A9">
      <w:pPr>
        <w:pStyle w:val="ListParagraph"/>
        <w:autoSpaceDE w:val="0"/>
        <w:autoSpaceDN w:val="0"/>
        <w:adjustRightInd w:val="0"/>
        <w:spacing w:after="0" w:line="240" w:lineRule="auto"/>
      </w:pPr>
    </w:p>
    <w:p w14:paraId="59D1218A" w14:textId="77777777" w:rsidR="00452FC5" w:rsidRDefault="00452FC5">
      <w:r>
        <w:br w:type="page"/>
      </w:r>
    </w:p>
    <w:p w14:paraId="470093E2" w14:textId="77777777" w:rsidR="0049475C" w:rsidRDefault="0049475C"/>
    <w:p w14:paraId="7C361C64" w14:textId="77777777" w:rsidR="00173EBC" w:rsidRDefault="00173EBC" w:rsidP="00173EBC">
      <w:pPr>
        <w:pStyle w:val="ListParagraph"/>
        <w:autoSpaceDE w:val="0"/>
        <w:autoSpaceDN w:val="0"/>
        <w:adjustRightInd w:val="0"/>
        <w:spacing w:after="0" w:line="240" w:lineRule="auto"/>
        <w:jc w:val="center"/>
        <w:rPr>
          <w:b/>
        </w:rPr>
      </w:pPr>
      <w:r>
        <w:rPr>
          <w:b/>
        </w:rPr>
        <w:t>Sample Fixed</w:t>
      </w:r>
      <w:r w:rsidRPr="00452FC5">
        <w:rPr>
          <w:b/>
        </w:rPr>
        <w:t xml:space="preserve"> Schedule</w:t>
      </w:r>
      <w:r>
        <w:rPr>
          <w:b/>
        </w:rPr>
        <w:t xml:space="preserve"> </w:t>
      </w:r>
    </w:p>
    <w:p w14:paraId="42EC199F" w14:textId="77777777" w:rsidR="00173EBC" w:rsidRPr="0049475C" w:rsidRDefault="00173EBC" w:rsidP="00173EBC">
      <w:pPr>
        <w:autoSpaceDE w:val="0"/>
        <w:autoSpaceDN w:val="0"/>
        <w:adjustRightInd w:val="0"/>
        <w:spacing w:after="0" w:line="240" w:lineRule="auto"/>
        <w:rPr>
          <w:b/>
        </w:rPr>
      </w:pPr>
    </w:p>
    <w:p w14:paraId="769FB4D0" w14:textId="77777777" w:rsidR="00173EBC" w:rsidRDefault="00173EBC" w:rsidP="00173EBC">
      <w:pPr>
        <w:pStyle w:val="ListParagraph"/>
        <w:autoSpaceDE w:val="0"/>
        <w:autoSpaceDN w:val="0"/>
        <w:adjustRightInd w:val="0"/>
        <w:spacing w:after="0" w:line="240" w:lineRule="auto"/>
      </w:pPr>
    </w:p>
    <w:tbl>
      <w:tblPr>
        <w:tblStyle w:val="TableGrid"/>
        <w:tblW w:w="0" w:type="auto"/>
        <w:jc w:val="center"/>
        <w:tblLook w:val="04A0" w:firstRow="1" w:lastRow="0" w:firstColumn="1" w:lastColumn="0" w:noHBand="0" w:noVBand="1"/>
      </w:tblPr>
      <w:tblGrid>
        <w:gridCol w:w="3330"/>
        <w:gridCol w:w="1530"/>
      </w:tblGrid>
      <w:tr w:rsidR="00173EBC" w14:paraId="356E730B" w14:textId="77777777" w:rsidTr="00173EBC">
        <w:trPr>
          <w:jc w:val="center"/>
        </w:trPr>
        <w:tc>
          <w:tcPr>
            <w:tcW w:w="3330" w:type="dxa"/>
            <w:shd w:val="clear" w:color="auto" w:fill="BFBFBF" w:themeFill="background1" w:themeFillShade="BF"/>
          </w:tcPr>
          <w:p w14:paraId="67E87769" w14:textId="77777777" w:rsidR="00173EBC" w:rsidRPr="00E827A9" w:rsidRDefault="00173EBC" w:rsidP="00225163">
            <w:pPr>
              <w:pStyle w:val="ListParagraph"/>
              <w:autoSpaceDE w:val="0"/>
              <w:autoSpaceDN w:val="0"/>
              <w:adjustRightInd w:val="0"/>
              <w:ind w:left="0"/>
              <w:jc w:val="center"/>
              <w:rPr>
                <w:b/>
              </w:rPr>
            </w:pPr>
            <w:r w:rsidRPr="00E827A9">
              <w:rPr>
                <w:b/>
              </w:rPr>
              <w:t>Date</w:t>
            </w:r>
          </w:p>
        </w:tc>
        <w:tc>
          <w:tcPr>
            <w:tcW w:w="1530" w:type="dxa"/>
            <w:shd w:val="clear" w:color="auto" w:fill="BFBFBF" w:themeFill="background1" w:themeFillShade="BF"/>
          </w:tcPr>
          <w:p w14:paraId="5C39EE0E" w14:textId="77777777" w:rsidR="00173EBC" w:rsidRPr="00E827A9" w:rsidRDefault="00173EBC" w:rsidP="00173EBC">
            <w:pPr>
              <w:pStyle w:val="ListParagraph"/>
              <w:autoSpaceDE w:val="0"/>
              <w:autoSpaceDN w:val="0"/>
              <w:adjustRightInd w:val="0"/>
              <w:ind w:left="0"/>
              <w:jc w:val="center"/>
              <w:rPr>
                <w:b/>
              </w:rPr>
            </w:pPr>
            <w:r w:rsidRPr="00E827A9">
              <w:rPr>
                <w:b/>
              </w:rPr>
              <w:t>Amount</w:t>
            </w:r>
          </w:p>
        </w:tc>
      </w:tr>
      <w:tr w:rsidR="00173EBC" w14:paraId="77E3BB99" w14:textId="77777777" w:rsidTr="00173EBC">
        <w:trPr>
          <w:jc w:val="center"/>
        </w:trPr>
        <w:tc>
          <w:tcPr>
            <w:tcW w:w="3330" w:type="dxa"/>
          </w:tcPr>
          <w:p w14:paraId="69402C4F" w14:textId="77777777" w:rsidR="00173EBC" w:rsidRDefault="00173EBC" w:rsidP="00225163">
            <w:pPr>
              <w:pStyle w:val="ListParagraph"/>
              <w:autoSpaceDE w:val="0"/>
              <w:autoSpaceDN w:val="0"/>
              <w:adjustRightInd w:val="0"/>
              <w:ind w:left="0"/>
            </w:pPr>
            <w:r>
              <w:t>Upon Signature</w:t>
            </w:r>
          </w:p>
        </w:tc>
        <w:tc>
          <w:tcPr>
            <w:tcW w:w="1530" w:type="dxa"/>
          </w:tcPr>
          <w:p w14:paraId="5DF0BF32" w14:textId="77777777" w:rsidR="00173EBC" w:rsidRDefault="00173EBC" w:rsidP="00173EBC">
            <w:pPr>
              <w:pStyle w:val="ListParagraph"/>
              <w:autoSpaceDE w:val="0"/>
              <w:autoSpaceDN w:val="0"/>
              <w:adjustRightInd w:val="0"/>
              <w:ind w:left="0"/>
              <w:jc w:val="center"/>
            </w:pPr>
            <w:r>
              <w:t>$25,000</w:t>
            </w:r>
          </w:p>
        </w:tc>
      </w:tr>
      <w:tr w:rsidR="00173EBC" w14:paraId="5FF3EC0E" w14:textId="77777777" w:rsidTr="00173EBC">
        <w:trPr>
          <w:jc w:val="center"/>
        </w:trPr>
        <w:tc>
          <w:tcPr>
            <w:tcW w:w="3330" w:type="dxa"/>
          </w:tcPr>
          <w:p w14:paraId="76A0E5FF" w14:textId="77777777" w:rsidR="00173EBC" w:rsidRDefault="00173EBC" w:rsidP="00225163">
            <w:pPr>
              <w:pStyle w:val="ListParagraph"/>
              <w:autoSpaceDE w:val="0"/>
              <w:autoSpaceDN w:val="0"/>
              <w:adjustRightInd w:val="0"/>
              <w:ind w:left="0"/>
            </w:pPr>
            <w:r>
              <w:t>Jul 15, 2021</w:t>
            </w:r>
          </w:p>
        </w:tc>
        <w:tc>
          <w:tcPr>
            <w:tcW w:w="1530" w:type="dxa"/>
          </w:tcPr>
          <w:p w14:paraId="15A46CF0" w14:textId="77777777" w:rsidR="00173EBC" w:rsidRDefault="00065CD4" w:rsidP="00065CD4">
            <w:pPr>
              <w:pStyle w:val="ListParagraph"/>
              <w:autoSpaceDE w:val="0"/>
              <w:autoSpaceDN w:val="0"/>
              <w:adjustRightInd w:val="0"/>
              <w:ind w:left="0"/>
              <w:jc w:val="center"/>
            </w:pPr>
            <w:r>
              <w:t>$125</w:t>
            </w:r>
            <w:r w:rsidR="00173EBC">
              <w:t>,000</w:t>
            </w:r>
          </w:p>
        </w:tc>
      </w:tr>
      <w:tr w:rsidR="00173EBC" w14:paraId="45BA1B85" w14:textId="77777777" w:rsidTr="00173EBC">
        <w:trPr>
          <w:jc w:val="center"/>
        </w:trPr>
        <w:tc>
          <w:tcPr>
            <w:tcW w:w="3330" w:type="dxa"/>
          </w:tcPr>
          <w:p w14:paraId="2BB3D01F" w14:textId="77777777" w:rsidR="00173EBC" w:rsidRDefault="00173EBC" w:rsidP="00225163">
            <w:pPr>
              <w:pStyle w:val="ListParagraph"/>
              <w:autoSpaceDE w:val="0"/>
              <w:autoSpaceDN w:val="0"/>
              <w:adjustRightInd w:val="0"/>
              <w:ind w:left="0"/>
            </w:pPr>
            <w:r>
              <w:t>Aug 15, 2021</w:t>
            </w:r>
          </w:p>
        </w:tc>
        <w:tc>
          <w:tcPr>
            <w:tcW w:w="1530" w:type="dxa"/>
          </w:tcPr>
          <w:p w14:paraId="2C43F27B" w14:textId="77777777" w:rsidR="00173EBC" w:rsidRDefault="00065CD4" w:rsidP="00065CD4">
            <w:pPr>
              <w:pStyle w:val="ListParagraph"/>
              <w:autoSpaceDE w:val="0"/>
              <w:autoSpaceDN w:val="0"/>
              <w:adjustRightInd w:val="0"/>
              <w:ind w:left="0"/>
              <w:jc w:val="center"/>
            </w:pPr>
            <w:r>
              <w:t>$50</w:t>
            </w:r>
            <w:r w:rsidR="00173EBC">
              <w:t>,000</w:t>
            </w:r>
          </w:p>
        </w:tc>
      </w:tr>
    </w:tbl>
    <w:p w14:paraId="0FBE980F" w14:textId="77777777" w:rsidR="0049475C" w:rsidRDefault="0049475C"/>
    <w:p w14:paraId="1DDC29A7" w14:textId="77777777" w:rsidR="003351A5" w:rsidRDefault="003351A5"/>
    <w:p w14:paraId="2236B9F8" w14:textId="77777777" w:rsidR="00C9282A" w:rsidRDefault="00C9282A" w:rsidP="00C9282A">
      <w:pPr>
        <w:autoSpaceDE w:val="0"/>
        <w:autoSpaceDN w:val="0"/>
        <w:adjustRightInd w:val="0"/>
        <w:spacing w:after="0" w:line="240" w:lineRule="auto"/>
        <w:rPr>
          <w:rFonts w:ascii="Calibri-Italic" w:hAnsi="Calibri-Italic" w:cs="Calibri-Italic"/>
          <w:iCs/>
        </w:rPr>
      </w:pPr>
    </w:p>
    <w:p w14:paraId="288931D1" w14:textId="77777777" w:rsidR="003E5D65" w:rsidRDefault="003E5D65" w:rsidP="003E5D65">
      <w:pPr>
        <w:pStyle w:val="ListParagraph"/>
        <w:autoSpaceDE w:val="0"/>
        <w:autoSpaceDN w:val="0"/>
        <w:adjustRightInd w:val="0"/>
        <w:spacing w:after="0" w:line="240" w:lineRule="auto"/>
        <w:jc w:val="center"/>
        <w:rPr>
          <w:b/>
        </w:rPr>
      </w:pPr>
      <w:r>
        <w:rPr>
          <w:b/>
        </w:rPr>
        <w:t>Sample Per Patient</w:t>
      </w:r>
      <w:r w:rsidRPr="00452FC5">
        <w:rPr>
          <w:b/>
        </w:rPr>
        <w:t xml:space="preserve"> Schedule</w:t>
      </w:r>
      <w:r>
        <w:rPr>
          <w:b/>
        </w:rPr>
        <w:t xml:space="preserve"> </w:t>
      </w:r>
    </w:p>
    <w:p w14:paraId="3248E6C8" w14:textId="77777777" w:rsidR="003E5D65" w:rsidRDefault="003E5D65" w:rsidP="00C9282A">
      <w:pPr>
        <w:autoSpaceDE w:val="0"/>
        <w:autoSpaceDN w:val="0"/>
        <w:adjustRightInd w:val="0"/>
        <w:spacing w:after="0" w:line="240" w:lineRule="auto"/>
        <w:rPr>
          <w:rFonts w:ascii="Calibri-Italic" w:hAnsi="Calibri-Italic" w:cs="Calibri-Italic"/>
          <w:iCs/>
        </w:rPr>
      </w:pPr>
    </w:p>
    <w:p w14:paraId="31CA67EA" w14:textId="77777777" w:rsidR="003E5D65" w:rsidRDefault="003E5D65" w:rsidP="00C9282A">
      <w:pPr>
        <w:autoSpaceDE w:val="0"/>
        <w:autoSpaceDN w:val="0"/>
        <w:adjustRightInd w:val="0"/>
        <w:spacing w:after="0" w:line="240" w:lineRule="auto"/>
        <w:rPr>
          <w:rFonts w:ascii="Calibri-Italic" w:hAnsi="Calibri-Italic" w:cs="Calibri-Italic"/>
          <w:iCs/>
        </w:rPr>
      </w:pPr>
    </w:p>
    <w:tbl>
      <w:tblPr>
        <w:tblStyle w:val="TableGrid"/>
        <w:tblW w:w="0" w:type="auto"/>
        <w:tblInd w:w="2695" w:type="dxa"/>
        <w:tblLook w:val="04A0" w:firstRow="1" w:lastRow="0" w:firstColumn="1" w:lastColumn="0" w:noHBand="0" w:noVBand="1"/>
      </w:tblPr>
      <w:tblGrid>
        <w:gridCol w:w="2700"/>
        <w:gridCol w:w="3420"/>
      </w:tblGrid>
      <w:tr w:rsidR="003E5D65" w14:paraId="2DB45A28" w14:textId="77777777" w:rsidTr="003E5D65">
        <w:tc>
          <w:tcPr>
            <w:tcW w:w="2700" w:type="dxa"/>
            <w:shd w:val="clear" w:color="auto" w:fill="BFBFBF" w:themeFill="background1" w:themeFillShade="BF"/>
          </w:tcPr>
          <w:p w14:paraId="3D014D01" w14:textId="77777777" w:rsidR="003E5D65" w:rsidRPr="003E5D65" w:rsidRDefault="003E5D65" w:rsidP="003E5D65">
            <w:pPr>
              <w:pStyle w:val="ListParagraph"/>
              <w:autoSpaceDE w:val="0"/>
              <w:autoSpaceDN w:val="0"/>
              <w:adjustRightInd w:val="0"/>
              <w:ind w:left="0"/>
              <w:jc w:val="center"/>
              <w:rPr>
                <w:b/>
              </w:rPr>
            </w:pPr>
            <w:r w:rsidRPr="003E5D65">
              <w:rPr>
                <w:b/>
              </w:rPr>
              <w:t>Item</w:t>
            </w:r>
          </w:p>
        </w:tc>
        <w:tc>
          <w:tcPr>
            <w:tcW w:w="3420" w:type="dxa"/>
            <w:shd w:val="clear" w:color="auto" w:fill="BFBFBF" w:themeFill="background1" w:themeFillShade="BF"/>
          </w:tcPr>
          <w:p w14:paraId="75F406C3" w14:textId="77777777" w:rsidR="003E5D65" w:rsidRPr="003E5D65" w:rsidRDefault="003E5D65" w:rsidP="003E5D65">
            <w:pPr>
              <w:pStyle w:val="ListParagraph"/>
              <w:autoSpaceDE w:val="0"/>
              <w:autoSpaceDN w:val="0"/>
              <w:adjustRightInd w:val="0"/>
              <w:ind w:left="0"/>
              <w:jc w:val="center"/>
              <w:rPr>
                <w:b/>
              </w:rPr>
            </w:pPr>
            <w:r>
              <w:rPr>
                <w:b/>
              </w:rPr>
              <w:t>C</w:t>
            </w:r>
            <w:r w:rsidRPr="003E5D65">
              <w:rPr>
                <w:b/>
              </w:rPr>
              <w:t>ost</w:t>
            </w:r>
          </w:p>
        </w:tc>
      </w:tr>
      <w:tr w:rsidR="003E5D65" w14:paraId="54455DFB" w14:textId="77777777" w:rsidTr="003E5D65">
        <w:tc>
          <w:tcPr>
            <w:tcW w:w="2700" w:type="dxa"/>
          </w:tcPr>
          <w:p w14:paraId="7AF378FC" w14:textId="77777777" w:rsidR="003E5D65" w:rsidRPr="003351A5" w:rsidRDefault="003E5D65" w:rsidP="00C9282A">
            <w:pPr>
              <w:autoSpaceDE w:val="0"/>
              <w:autoSpaceDN w:val="0"/>
              <w:adjustRightInd w:val="0"/>
              <w:rPr>
                <w:rFonts w:cstheme="minorHAnsi"/>
                <w:iCs/>
              </w:rPr>
            </w:pPr>
            <w:r w:rsidRPr="003351A5">
              <w:rPr>
                <w:rFonts w:cstheme="minorHAnsi"/>
                <w:iCs/>
              </w:rPr>
              <w:t>Blood tubes</w:t>
            </w:r>
          </w:p>
        </w:tc>
        <w:tc>
          <w:tcPr>
            <w:tcW w:w="3420" w:type="dxa"/>
          </w:tcPr>
          <w:p w14:paraId="69754E2F" w14:textId="77777777" w:rsidR="003E5D65" w:rsidRPr="003351A5" w:rsidRDefault="003E5D65" w:rsidP="00C9282A">
            <w:pPr>
              <w:autoSpaceDE w:val="0"/>
              <w:autoSpaceDN w:val="0"/>
              <w:adjustRightInd w:val="0"/>
              <w:rPr>
                <w:rFonts w:cstheme="minorHAnsi"/>
                <w:iCs/>
              </w:rPr>
            </w:pPr>
            <w:r w:rsidRPr="003351A5">
              <w:rPr>
                <w:rFonts w:cstheme="minorHAnsi"/>
                <w:iCs/>
              </w:rPr>
              <w:t>$32</w:t>
            </w:r>
          </w:p>
        </w:tc>
      </w:tr>
      <w:tr w:rsidR="003E5D65" w14:paraId="1FEED111" w14:textId="77777777" w:rsidTr="003E5D65">
        <w:tc>
          <w:tcPr>
            <w:tcW w:w="2700" w:type="dxa"/>
          </w:tcPr>
          <w:p w14:paraId="04333829" w14:textId="77777777" w:rsidR="003E5D65" w:rsidRPr="003351A5" w:rsidRDefault="003E5D65" w:rsidP="00C9282A">
            <w:pPr>
              <w:autoSpaceDE w:val="0"/>
              <w:autoSpaceDN w:val="0"/>
              <w:adjustRightInd w:val="0"/>
              <w:rPr>
                <w:rFonts w:cstheme="minorHAnsi"/>
                <w:iCs/>
              </w:rPr>
            </w:pPr>
            <w:r w:rsidRPr="003351A5">
              <w:rPr>
                <w:rFonts w:cstheme="minorHAnsi"/>
                <w:iCs/>
              </w:rPr>
              <w:t>Cell Sieve Filter</w:t>
            </w:r>
          </w:p>
        </w:tc>
        <w:tc>
          <w:tcPr>
            <w:tcW w:w="3420" w:type="dxa"/>
          </w:tcPr>
          <w:p w14:paraId="3BFE256E" w14:textId="77777777" w:rsidR="003E5D65" w:rsidRPr="003351A5" w:rsidRDefault="003E5D65" w:rsidP="00C9282A">
            <w:pPr>
              <w:autoSpaceDE w:val="0"/>
              <w:autoSpaceDN w:val="0"/>
              <w:adjustRightInd w:val="0"/>
              <w:rPr>
                <w:rFonts w:cstheme="minorHAnsi"/>
                <w:iCs/>
              </w:rPr>
            </w:pPr>
            <w:r w:rsidRPr="003351A5">
              <w:rPr>
                <w:rFonts w:cstheme="minorHAnsi"/>
                <w:iCs/>
              </w:rPr>
              <w:t>$200</w:t>
            </w:r>
          </w:p>
        </w:tc>
      </w:tr>
      <w:tr w:rsidR="003E5D65" w14:paraId="3BF53162" w14:textId="77777777" w:rsidTr="003E5D65">
        <w:tc>
          <w:tcPr>
            <w:tcW w:w="2700" w:type="dxa"/>
          </w:tcPr>
          <w:p w14:paraId="27D7466E" w14:textId="77777777" w:rsidR="003E5D65" w:rsidRPr="003351A5" w:rsidRDefault="003E5D65" w:rsidP="00C9282A">
            <w:pPr>
              <w:autoSpaceDE w:val="0"/>
              <w:autoSpaceDN w:val="0"/>
              <w:adjustRightInd w:val="0"/>
              <w:rPr>
                <w:rFonts w:cstheme="minorHAnsi"/>
                <w:iCs/>
              </w:rPr>
            </w:pPr>
            <w:r w:rsidRPr="003351A5">
              <w:rPr>
                <w:rFonts w:cstheme="minorHAnsi"/>
                <w:iCs/>
              </w:rPr>
              <w:t>Shipping (Round trip)</w:t>
            </w:r>
          </w:p>
        </w:tc>
        <w:tc>
          <w:tcPr>
            <w:tcW w:w="3420" w:type="dxa"/>
          </w:tcPr>
          <w:p w14:paraId="08B5A7DB" w14:textId="77777777" w:rsidR="003E5D65" w:rsidRPr="003351A5" w:rsidRDefault="003E5D65" w:rsidP="00C9282A">
            <w:pPr>
              <w:autoSpaceDE w:val="0"/>
              <w:autoSpaceDN w:val="0"/>
              <w:adjustRightInd w:val="0"/>
              <w:rPr>
                <w:rFonts w:cstheme="minorHAnsi"/>
                <w:iCs/>
              </w:rPr>
            </w:pPr>
            <w:r w:rsidRPr="003351A5">
              <w:rPr>
                <w:rFonts w:cstheme="minorHAnsi"/>
                <w:iCs/>
              </w:rPr>
              <w:t>$190 (average. Costs may vary)</w:t>
            </w:r>
          </w:p>
        </w:tc>
      </w:tr>
      <w:tr w:rsidR="003E5D65" w14:paraId="4E46D76D" w14:textId="77777777" w:rsidTr="003E5D65">
        <w:tc>
          <w:tcPr>
            <w:tcW w:w="2700" w:type="dxa"/>
          </w:tcPr>
          <w:p w14:paraId="4874589D" w14:textId="77777777" w:rsidR="003E5D65" w:rsidRPr="003351A5" w:rsidRDefault="003E5D65" w:rsidP="00C9282A">
            <w:pPr>
              <w:autoSpaceDE w:val="0"/>
              <w:autoSpaceDN w:val="0"/>
              <w:adjustRightInd w:val="0"/>
              <w:rPr>
                <w:rFonts w:cstheme="minorHAnsi"/>
                <w:iCs/>
              </w:rPr>
            </w:pPr>
            <w:r w:rsidRPr="003351A5">
              <w:rPr>
                <w:rFonts w:cstheme="minorHAnsi"/>
                <w:iCs/>
              </w:rPr>
              <w:t>Slide Staining</w:t>
            </w:r>
          </w:p>
        </w:tc>
        <w:tc>
          <w:tcPr>
            <w:tcW w:w="3420" w:type="dxa"/>
          </w:tcPr>
          <w:p w14:paraId="32785AF9" w14:textId="77777777" w:rsidR="003E5D65" w:rsidRPr="003351A5" w:rsidRDefault="003E5D65" w:rsidP="00C9282A">
            <w:pPr>
              <w:autoSpaceDE w:val="0"/>
              <w:autoSpaceDN w:val="0"/>
              <w:adjustRightInd w:val="0"/>
              <w:rPr>
                <w:rFonts w:cstheme="minorHAnsi"/>
                <w:iCs/>
              </w:rPr>
            </w:pPr>
            <w:r w:rsidRPr="003351A5">
              <w:rPr>
                <w:rFonts w:cstheme="minorHAnsi"/>
                <w:iCs/>
              </w:rPr>
              <w:t>$20</w:t>
            </w:r>
          </w:p>
        </w:tc>
      </w:tr>
      <w:tr w:rsidR="003E5D65" w14:paraId="05EE8BE9" w14:textId="77777777" w:rsidTr="003E5D65">
        <w:tc>
          <w:tcPr>
            <w:tcW w:w="2700" w:type="dxa"/>
          </w:tcPr>
          <w:p w14:paraId="0EC349B1" w14:textId="77777777" w:rsidR="003E5D65" w:rsidRPr="003351A5" w:rsidRDefault="003E5D65" w:rsidP="00C9282A">
            <w:pPr>
              <w:autoSpaceDE w:val="0"/>
              <w:autoSpaceDN w:val="0"/>
              <w:adjustRightInd w:val="0"/>
              <w:rPr>
                <w:rFonts w:cstheme="minorHAnsi"/>
                <w:iCs/>
              </w:rPr>
            </w:pPr>
            <w:r w:rsidRPr="003351A5">
              <w:rPr>
                <w:rFonts w:cstheme="minorHAnsi"/>
                <w:iCs/>
              </w:rPr>
              <w:t>PI Time</w:t>
            </w:r>
          </w:p>
        </w:tc>
        <w:tc>
          <w:tcPr>
            <w:tcW w:w="3420" w:type="dxa"/>
          </w:tcPr>
          <w:p w14:paraId="74EEBDA6" w14:textId="77777777" w:rsidR="003E5D65" w:rsidRPr="003351A5" w:rsidRDefault="003E5D65" w:rsidP="00C9282A">
            <w:pPr>
              <w:autoSpaceDE w:val="0"/>
              <w:autoSpaceDN w:val="0"/>
              <w:adjustRightInd w:val="0"/>
              <w:rPr>
                <w:rFonts w:cstheme="minorHAnsi"/>
                <w:iCs/>
              </w:rPr>
            </w:pPr>
            <w:r w:rsidRPr="003351A5">
              <w:rPr>
                <w:rFonts w:cstheme="minorHAnsi"/>
                <w:iCs/>
              </w:rPr>
              <w:t>$17</w:t>
            </w:r>
          </w:p>
        </w:tc>
      </w:tr>
      <w:tr w:rsidR="003E5D65" w14:paraId="1539EB85" w14:textId="77777777" w:rsidTr="003E5D65">
        <w:tc>
          <w:tcPr>
            <w:tcW w:w="2700" w:type="dxa"/>
          </w:tcPr>
          <w:p w14:paraId="2B7A0DD6" w14:textId="77777777" w:rsidR="003E5D65" w:rsidRPr="003351A5" w:rsidRDefault="003E5D65" w:rsidP="00C9282A">
            <w:pPr>
              <w:autoSpaceDE w:val="0"/>
              <w:autoSpaceDN w:val="0"/>
              <w:adjustRightInd w:val="0"/>
              <w:rPr>
                <w:rFonts w:cstheme="minorHAnsi"/>
                <w:iCs/>
              </w:rPr>
            </w:pPr>
            <w:r w:rsidRPr="003351A5">
              <w:rPr>
                <w:rFonts w:cstheme="minorHAnsi"/>
                <w:iCs/>
              </w:rPr>
              <w:t>Tech time</w:t>
            </w:r>
          </w:p>
        </w:tc>
        <w:tc>
          <w:tcPr>
            <w:tcW w:w="3420" w:type="dxa"/>
          </w:tcPr>
          <w:p w14:paraId="04719A52" w14:textId="77777777" w:rsidR="003E5D65" w:rsidRPr="003351A5" w:rsidRDefault="003E5D65" w:rsidP="00C9282A">
            <w:pPr>
              <w:autoSpaceDE w:val="0"/>
              <w:autoSpaceDN w:val="0"/>
              <w:adjustRightInd w:val="0"/>
              <w:rPr>
                <w:rFonts w:cstheme="minorHAnsi"/>
                <w:iCs/>
              </w:rPr>
            </w:pPr>
            <w:r w:rsidRPr="003351A5">
              <w:rPr>
                <w:rFonts w:cstheme="minorHAnsi"/>
                <w:iCs/>
              </w:rPr>
              <w:t>$40</w:t>
            </w:r>
          </w:p>
        </w:tc>
      </w:tr>
      <w:tr w:rsidR="003E5D65" w14:paraId="43605DCA" w14:textId="77777777" w:rsidTr="003E5D65">
        <w:tc>
          <w:tcPr>
            <w:tcW w:w="2700" w:type="dxa"/>
          </w:tcPr>
          <w:p w14:paraId="6A0D1BD7" w14:textId="77777777" w:rsidR="003E5D65" w:rsidRPr="003351A5" w:rsidRDefault="003E5D65" w:rsidP="00C9282A">
            <w:pPr>
              <w:autoSpaceDE w:val="0"/>
              <w:autoSpaceDN w:val="0"/>
              <w:adjustRightInd w:val="0"/>
              <w:rPr>
                <w:rFonts w:cstheme="minorHAnsi"/>
                <w:iCs/>
              </w:rPr>
            </w:pPr>
            <w:r w:rsidRPr="003351A5">
              <w:rPr>
                <w:rFonts w:cstheme="minorHAnsi"/>
                <w:iCs/>
              </w:rPr>
              <w:t>Subtotal (per sample)</w:t>
            </w:r>
          </w:p>
        </w:tc>
        <w:tc>
          <w:tcPr>
            <w:tcW w:w="3420" w:type="dxa"/>
          </w:tcPr>
          <w:p w14:paraId="13F1EEBC" w14:textId="77777777" w:rsidR="003E5D65" w:rsidRPr="003351A5" w:rsidRDefault="003E5D65" w:rsidP="00C9282A">
            <w:pPr>
              <w:autoSpaceDE w:val="0"/>
              <w:autoSpaceDN w:val="0"/>
              <w:adjustRightInd w:val="0"/>
              <w:rPr>
                <w:rFonts w:cstheme="minorHAnsi"/>
                <w:iCs/>
              </w:rPr>
            </w:pPr>
            <w:r w:rsidRPr="003351A5">
              <w:rPr>
                <w:rFonts w:cstheme="minorHAnsi"/>
                <w:iCs/>
              </w:rPr>
              <w:t>$499</w:t>
            </w:r>
          </w:p>
        </w:tc>
      </w:tr>
    </w:tbl>
    <w:p w14:paraId="62FAF0C3" w14:textId="77777777" w:rsidR="003E5D65" w:rsidRDefault="003E5D65" w:rsidP="00C9282A">
      <w:pPr>
        <w:autoSpaceDE w:val="0"/>
        <w:autoSpaceDN w:val="0"/>
        <w:adjustRightInd w:val="0"/>
        <w:spacing w:after="0" w:line="240" w:lineRule="auto"/>
        <w:rPr>
          <w:rFonts w:ascii="Calibri-Italic" w:hAnsi="Calibri-Italic" w:cs="Calibri-Italic"/>
          <w:iCs/>
        </w:rPr>
      </w:pPr>
    </w:p>
    <w:p w14:paraId="4FF355A3" w14:textId="77777777" w:rsidR="003E5D65" w:rsidRPr="003351A5" w:rsidRDefault="003E5D65" w:rsidP="003351A5">
      <w:pPr>
        <w:autoSpaceDE w:val="0"/>
        <w:autoSpaceDN w:val="0"/>
        <w:adjustRightInd w:val="0"/>
        <w:spacing w:after="0" w:line="240" w:lineRule="auto"/>
        <w:ind w:left="2160"/>
      </w:pPr>
    </w:p>
    <w:p w14:paraId="45291E2A" w14:textId="77777777" w:rsidR="003E5D65" w:rsidRPr="003351A5" w:rsidRDefault="003E5D65" w:rsidP="003351A5">
      <w:pPr>
        <w:pStyle w:val="ListParagraph"/>
        <w:numPr>
          <w:ilvl w:val="0"/>
          <w:numId w:val="19"/>
        </w:numPr>
        <w:autoSpaceDE w:val="0"/>
        <w:autoSpaceDN w:val="0"/>
        <w:adjustRightInd w:val="0"/>
        <w:spacing w:after="0" w:line="240" w:lineRule="auto"/>
        <w:ind w:left="3240"/>
      </w:pPr>
      <w:r w:rsidRPr="003351A5">
        <w:t>Per Patient Cost (assuming 7 samples/ patient): $3,580</w:t>
      </w:r>
    </w:p>
    <w:p w14:paraId="557703D4" w14:textId="77777777" w:rsidR="003E5D65" w:rsidRPr="003351A5" w:rsidRDefault="003E5D65" w:rsidP="003351A5">
      <w:pPr>
        <w:pStyle w:val="ListParagraph"/>
        <w:numPr>
          <w:ilvl w:val="0"/>
          <w:numId w:val="19"/>
        </w:numPr>
        <w:autoSpaceDE w:val="0"/>
        <w:autoSpaceDN w:val="0"/>
        <w:adjustRightInd w:val="0"/>
        <w:spacing w:after="0" w:line="240" w:lineRule="auto"/>
        <w:ind w:left="3240"/>
      </w:pPr>
      <w:r w:rsidRPr="003351A5">
        <w:t>Total Cost (assuming 46 patients): $164,680</w:t>
      </w:r>
    </w:p>
    <w:p w14:paraId="51DABC4C" w14:textId="77777777" w:rsidR="003E5D65" w:rsidRPr="00173EBC" w:rsidRDefault="003E5D65" w:rsidP="00C9282A">
      <w:pPr>
        <w:autoSpaceDE w:val="0"/>
        <w:autoSpaceDN w:val="0"/>
        <w:adjustRightInd w:val="0"/>
        <w:spacing w:after="0" w:line="240" w:lineRule="auto"/>
        <w:rPr>
          <w:rFonts w:ascii="Calibri-Italic" w:hAnsi="Calibri-Italic" w:cs="Calibri-Italic"/>
          <w:iCs/>
        </w:rPr>
      </w:pPr>
    </w:p>
    <w:sectPr w:rsidR="003E5D65" w:rsidRPr="00173EBC" w:rsidSect="00452FC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8C5F" w14:textId="77777777" w:rsidR="003957C3" w:rsidRDefault="003957C3" w:rsidP="0085240C">
      <w:pPr>
        <w:spacing w:after="0" w:line="240" w:lineRule="auto"/>
      </w:pPr>
      <w:r>
        <w:separator/>
      </w:r>
    </w:p>
  </w:endnote>
  <w:endnote w:type="continuationSeparator" w:id="0">
    <w:p w14:paraId="141EFC4E" w14:textId="77777777" w:rsidR="003957C3" w:rsidRDefault="003957C3" w:rsidP="00852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Italic">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D4AC" w14:textId="77777777" w:rsidR="003957C3" w:rsidRDefault="003957C3" w:rsidP="0085240C">
      <w:pPr>
        <w:spacing w:after="0" w:line="240" w:lineRule="auto"/>
      </w:pPr>
      <w:r>
        <w:separator/>
      </w:r>
    </w:p>
  </w:footnote>
  <w:footnote w:type="continuationSeparator" w:id="0">
    <w:p w14:paraId="689466D6" w14:textId="77777777" w:rsidR="003957C3" w:rsidRDefault="003957C3" w:rsidP="00852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BCE"/>
    <w:multiLevelType w:val="multilevel"/>
    <w:tmpl w:val="FE76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0B59"/>
    <w:multiLevelType w:val="hybridMultilevel"/>
    <w:tmpl w:val="0598F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F2F64"/>
    <w:multiLevelType w:val="hybridMultilevel"/>
    <w:tmpl w:val="A7807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638F1"/>
    <w:multiLevelType w:val="hybridMultilevel"/>
    <w:tmpl w:val="B9884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BD3"/>
    <w:multiLevelType w:val="hybridMultilevel"/>
    <w:tmpl w:val="27AEB7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04D95"/>
    <w:multiLevelType w:val="hybridMultilevel"/>
    <w:tmpl w:val="40E87228"/>
    <w:lvl w:ilvl="0" w:tplc="4C8E344E">
      <w:numFmt w:val="bullet"/>
      <w:lvlText w:val="-"/>
      <w:lvlJc w:val="left"/>
      <w:pPr>
        <w:ind w:left="1080" w:hanging="360"/>
      </w:pPr>
      <w:rPr>
        <w:rFonts w:ascii="Calibri-Italic" w:eastAsiaTheme="minorHAnsi" w:hAnsi="Calibri-Italic" w:cs="Calibri-Ital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0F3FDA"/>
    <w:multiLevelType w:val="hybridMultilevel"/>
    <w:tmpl w:val="ACE8F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652AE"/>
    <w:multiLevelType w:val="multilevel"/>
    <w:tmpl w:val="45D0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911370"/>
    <w:multiLevelType w:val="hybridMultilevel"/>
    <w:tmpl w:val="B9884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413A4"/>
    <w:multiLevelType w:val="hybridMultilevel"/>
    <w:tmpl w:val="6B82E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E95D51"/>
    <w:multiLevelType w:val="hybridMultilevel"/>
    <w:tmpl w:val="8DF22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F5E6E"/>
    <w:multiLevelType w:val="hybridMultilevel"/>
    <w:tmpl w:val="5ABC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92BBF"/>
    <w:multiLevelType w:val="hybridMultilevel"/>
    <w:tmpl w:val="D384F6EE"/>
    <w:lvl w:ilvl="0" w:tplc="DDE649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7167450"/>
    <w:multiLevelType w:val="hybridMultilevel"/>
    <w:tmpl w:val="5ABC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2423F"/>
    <w:multiLevelType w:val="hybridMultilevel"/>
    <w:tmpl w:val="ACE8F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86BCF"/>
    <w:multiLevelType w:val="hybridMultilevel"/>
    <w:tmpl w:val="6D4465F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6752EE"/>
    <w:multiLevelType w:val="hybridMultilevel"/>
    <w:tmpl w:val="ACE8F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4C40F1"/>
    <w:multiLevelType w:val="hybridMultilevel"/>
    <w:tmpl w:val="230E2EB8"/>
    <w:lvl w:ilvl="0" w:tplc="4C8E344E">
      <w:numFmt w:val="bullet"/>
      <w:lvlText w:val="-"/>
      <w:lvlJc w:val="left"/>
      <w:pPr>
        <w:ind w:left="720" w:hanging="360"/>
      </w:pPr>
      <w:rPr>
        <w:rFonts w:ascii="Calibri-Italic" w:eastAsiaTheme="minorHAnsi" w:hAnsi="Calibri-Italic" w:cs="Calibri-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B17D4"/>
    <w:multiLevelType w:val="hybridMultilevel"/>
    <w:tmpl w:val="ACE8F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1A1CD5"/>
    <w:multiLevelType w:val="multilevel"/>
    <w:tmpl w:val="8AAC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2158C5"/>
    <w:multiLevelType w:val="hybridMultilevel"/>
    <w:tmpl w:val="3D5A18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387265">
    <w:abstractNumId w:val="4"/>
  </w:num>
  <w:num w:numId="2" w16cid:durableId="1573199021">
    <w:abstractNumId w:val="0"/>
  </w:num>
  <w:num w:numId="3" w16cid:durableId="504637551">
    <w:abstractNumId w:val="12"/>
  </w:num>
  <w:num w:numId="4" w16cid:durableId="771168528">
    <w:abstractNumId w:val="15"/>
  </w:num>
  <w:num w:numId="5" w16cid:durableId="1977686311">
    <w:abstractNumId w:val="8"/>
  </w:num>
  <w:num w:numId="6" w16cid:durableId="1973708969">
    <w:abstractNumId w:val="19"/>
  </w:num>
  <w:num w:numId="7" w16cid:durableId="1612666432">
    <w:abstractNumId w:val="7"/>
  </w:num>
  <w:num w:numId="8" w16cid:durableId="1990595257">
    <w:abstractNumId w:val="3"/>
  </w:num>
  <w:num w:numId="9" w16cid:durableId="1564756362">
    <w:abstractNumId w:val="10"/>
  </w:num>
  <w:num w:numId="10" w16cid:durableId="44573037">
    <w:abstractNumId w:val="13"/>
  </w:num>
  <w:num w:numId="11" w16cid:durableId="1148396378">
    <w:abstractNumId w:val="16"/>
  </w:num>
  <w:num w:numId="12" w16cid:durableId="592780936">
    <w:abstractNumId w:val="18"/>
  </w:num>
  <w:num w:numId="13" w16cid:durableId="1852987220">
    <w:abstractNumId w:val="6"/>
  </w:num>
  <w:num w:numId="14" w16cid:durableId="1786341998">
    <w:abstractNumId w:val="11"/>
  </w:num>
  <w:num w:numId="15" w16cid:durableId="1285766382">
    <w:abstractNumId w:val="14"/>
  </w:num>
  <w:num w:numId="16" w16cid:durableId="73818813">
    <w:abstractNumId w:val="20"/>
  </w:num>
  <w:num w:numId="17" w16cid:durableId="2016569839">
    <w:abstractNumId w:val="17"/>
  </w:num>
  <w:num w:numId="18" w16cid:durableId="1362121617">
    <w:abstractNumId w:val="5"/>
  </w:num>
  <w:num w:numId="19" w16cid:durableId="1250239806">
    <w:abstractNumId w:val="9"/>
  </w:num>
  <w:num w:numId="20" w16cid:durableId="16467668">
    <w:abstractNumId w:val="2"/>
  </w:num>
  <w:num w:numId="21" w16cid:durableId="10269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51"/>
    <w:rsid w:val="00065CD4"/>
    <w:rsid w:val="000D0AB9"/>
    <w:rsid w:val="00143956"/>
    <w:rsid w:val="00173EBC"/>
    <w:rsid w:val="002005D1"/>
    <w:rsid w:val="0024435E"/>
    <w:rsid w:val="00282350"/>
    <w:rsid w:val="002B5084"/>
    <w:rsid w:val="003351A5"/>
    <w:rsid w:val="00354A05"/>
    <w:rsid w:val="00371905"/>
    <w:rsid w:val="003957C3"/>
    <w:rsid w:val="003D08D9"/>
    <w:rsid w:val="003E5D65"/>
    <w:rsid w:val="00441448"/>
    <w:rsid w:val="00452FC5"/>
    <w:rsid w:val="0049475C"/>
    <w:rsid w:val="004B6771"/>
    <w:rsid w:val="005068F1"/>
    <w:rsid w:val="0054636C"/>
    <w:rsid w:val="00587990"/>
    <w:rsid w:val="005A7651"/>
    <w:rsid w:val="005F0636"/>
    <w:rsid w:val="00695E09"/>
    <w:rsid w:val="007839B1"/>
    <w:rsid w:val="00784CF7"/>
    <w:rsid w:val="0085240C"/>
    <w:rsid w:val="00883B87"/>
    <w:rsid w:val="008C01A1"/>
    <w:rsid w:val="008E201F"/>
    <w:rsid w:val="008F60B5"/>
    <w:rsid w:val="00994943"/>
    <w:rsid w:val="009F04D5"/>
    <w:rsid w:val="00A770DA"/>
    <w:rsid w:val="00AE160E"/>
    <w:rsid w:val="00B05B12"/>
    <w:rsid w:val="00B22352"/>
    <w:rsid w:val="00C045DF"/>
    <w:rsid w:val="00C179AB"/>
    <w:rsid w:val="00C4759E"/>
    <w:rsid w:val="00C9282A"/>
    <w:rsid w:val="00CA3C61"/>
    <w:rsid w:val="00D21D55"/>
    <w:rsid w:val="00D2562E"/>
    <w:rsid w:val="00D37013"/>
    <w:rsid w:val="00DD58B7"/>
    <w:rsid w:val="00E71C45"/>
    <w:rsid w:val="00E827A9"/>
    <w:rsid w:val="00ED0502"/>
    <w:rsid w:val="00FA3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C97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6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4A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651"/>
    <w:pPr>
      <w:ind w:left="720"/>
      <w:contextualSpacing/>
    </w:pPr>
  </w:style>
  <w:style w:type="character" w:customStyle="1" w:styleId="Heading1Char">
    <w:name w:val="Heading 1 Char"/>
    <w:basedOn w:val="DefaultParagraphFont"/>
    <w:link w:val="Heading1"/>
    <w:uiPriority w:val="9"/>
    <w:rsid w:val="005A765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D0A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AB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82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7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59E"/>
    <w:rPr>
      <w:rFonts w:ascii="Segoe UI" w:hAnsi="Segoe UI" w:cs="Segoe UI"/>
      <w:sz w:val="18"/>
      <w:szCs w:val="18"/>
    </w:rPr>
  </w:style>
  <w:style w:type="character" w:styleId="CommentReference">
    <w:name w:val="annotation reference"/>
    <w:basedOn w:val="DefaultParagraphFont"/>
    <w:uiPriority w:val="99"/>
    <w:semiHidden/>
    <w:unhideWhenUsed/>
    <w:rsid w:val="00C4759E"/>
    <w:rPr>
      <w:sz w:val="16"/>
      <w:szCs w:val="16"/>
    </w:rPr>
  </w:style>
  <w:style w:type="paragraph" w:styleId="CommentText">
    <w:name w:val="annotation text"/>
    <w:basedOn w:val="Normal"/>
    <w:link w:val="CommentTextChar"/>
    <w:uiPriority w:val="99"/>
    <w:semiHidden/>
    <w:unhideWhenUsed/>
    <w:rsid w:val="00C4759E"/>
    <w:pPr>
      <w:spacing w:line="240" w:lineRule="auto"/>
    </w:pPr>
    <w:rPr>
      <w:sz w:val="20"/>
      <w:szCs w:val="20"/>
    </w:rPr>
  </w:style>
  <w:style w:type="character" w:customStyle="1" w:styleId="CommentTextChar">
    <w:name w:val="Comment Text Char"/>
    <w:basedOn w:val="DefaultParagraphFont"/>
    <w:link w:val="CommentText"/>
    <w:uiPriority w:val="99"/>
    <w:semiHidden/>
    <w:rsid w:val="00C4759E"/>
    <w:rPr>
      <w:sz w:val="20"/>
      <w:szCs w:val="20"/>
    </w:rPr>
  </w:style>
  <w:style w:type="paragraph" w:styleId="CommentSubject">
    <w:name w:val="annotation subject"/>
    <w:basedOn w:val="CommentText"/>
    <w:next w:val="CommentText"/>
    <w:link w:val="CommentSubjectChar"/>
    <w:uiPriority w:val="99"/>
    <w:semiHidden/>
    <w:unhideWhenUsed/>
    <w:rsid w:val="00C4759E"/>
    <w:rPr>
      <w:b/>
      <w:bCs/>
    </w:rPr>
  </w:style>
  <w:style w:type="character" w:customStyle="1" w:styleId="CommentSubjectChar">
    <w:name w:val="Comment Subject Char"/>
    <w:basedOn w:val="CommentTextChar"/>
    <w:link w:val="CommentSubject"/>
    <w:uiPriority w:val="99"/>
    <w:semiHidden/>
    <w:rsid w:val="00C4759E"/>
    <w:rPr>
      <w:b/>
      <w:bCs/>
      <w:sz w:val="20"/>
      <w:szCs w:val="20"/>
    </w:rPr>
  </w:style>
  <w:style w:type="paragraph" w:styleId="Header">
    <w:name w:val="header"/>
    <w:basedOn w:val="Normal"/>
    <w:link w:val="HeaderChar"/>
    <w:uiPriority w:val="99"/>
    <w:unhideWhenUsed/>
    <w:rsid w:val="00852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40C"/>
  </w:style>
  <w:style w:type="paragraph" w:styleId="Footer">
    <w:name w:val="footer"/>
    <w:basedOn w:val="Normal"/>
    <w:link w:val="FooterChar"/>
    <w:uiPriority w:val="99"/>
    <w:unhideWhenUsed/>
    <w:rsid w:val="00852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40C"/>
  </w:style>
  <w:style w:type="character" w:customStyle="1" w:styleId="Heading2Char">
    <w:name w:val="Heading 2 Char"/>
    <w:basedOn w:val="DefaultParagraphFont"/>
    <w:link w:val="Heading2"/>
    <w:uiPriority w:val="9"/>
    <w:rsid w:val="00354A0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005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2023-09-27T17:41:00Z</dcterms:created>
  <dcterms:modified xsi:type="dcterms:W3CDTF">2023-09-27T17:41:00Z</dcterms:modified>
</cp:coreProperties>
</file>