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E514" w14:textId="77777777" w:rsidR="006C08C7" w:rsidRDefault="00ED6AB5" w:rsidP="006C08C7">
      <w:pPr>
        <w:pStyle w:val="Heading1"/>
        <w:pBdr>
          <w:bottom w:val="single" w:sz="4" w:space="1" w:color="auto"/>
        </w:pBdr>
        <w:spacing w:before="0"/>
      </w:pPr>
      <w:r>
        <w:t xml:space="preserve">Guidelines for </w:t>
      </w:r>
      <w:r w:rsidR="00702572">
        <w:t>Other Pre</w:t>
      </w:r>
      <w:r w:rsidR="009A7E8E">
        <w:t xml:space="preserve">/Post </w:t>
      </w:r>
      <w:r w:rsidR="006C08C7">
        <w:t xml:space="preserve">Award Submissions (OPAS) </w:t>
      </w:r>
    </w:p>
    <w:p w14:paraId="66322FDE" w14:textId="77777777" w:rsidR="00A702CF" w:rsidRDefault="00702572" w:rsidP="006C08C7">
      <w:pPr>
        <w:pStyle w:val="Heading1"/>
        <w:pBdr>
          <w:bottom w:val="single" w:sz="4" w:space="1" w:color="auto"/>
        </w:pBdr>
        <w:spacing w:before="0"/>
      </w:pPr>
      <w:r>
        <w:t>New Cayuse</w:t>
      </w:r>
      <w:r w:rsidR="004B47D2">
        <w:t xml:space="preserve"> (Cayuse SP)</w:t>
      </w:r>
    </w:p>
    <w:p w14:paraId="2E633E60" w14:textId="5FA8D9E0" w:rsidR="00702572" w:rsidRDefault="00E20FB3" w:rsidP="006C08C7">
      <w:pPr>
        <w:pStyle w:val="Heading1"/>
        <w:pBdr>
          <w:bottom w:val="single" w:sz="4" w:space="1" w:color="auto"/>
        </w:pBdr>
        <w:spacing w:before="0"/>
      </w:pPr>
      <w:r>
        <w:t>March 1, 2023</w:t>
      </w:r>
    </w:p>
    <w:p w14:paraId="305CC3D7" w14:textId="77777777" w:rsidR="00702572" w:rsidRDefault="00702572" w:rsidP="00702572">
      <w:pPr>
        <w:spacing w:after="0" w:line="240" w:lineRule="auto"/>
      </w:pPr>
    </w:p>
    <w:p w14:paraId="71D1D636" w14:textId="77777777" w:rsidR="00702572" w:rsidRDefault="00702572" w:rsidP="00702572">
      <w:pPr>
        <w:spacing w:after="0" w:line="240" w:lineRule="auto"/>
      </w:pPr>
      <w:r>
        <w:t xml:space="preserve">OPAS is an Einstein term used to classify action required </w:t>
      </w:r>
      <w:r w:rsidR="008E53B3">
        <w:t>post proposal submission.  Other than Just</w:t>
      </w:r>
      <w:r w:rsidR="004B47D2">
        <w:t>-</w:t>
      </w:r>
      <w:r w:rsidR="008E53B3">
        <w:t>In</w:t>
      </w:r>
      <w:r w:rsidR="004B47D2">
        <w:t>-</w:t>
      </w:r>
      <w:r w:rsidR="008E53B3">
        <w:t xml:space="preserve">Time (JIT), it applies to pre-award status.  It also applies to awarded sponsored funds. </w:t>
      </w:r>
      <w:r>
        <w:t xml:space="preserve"> </w:t>
      </w:r>
    </w:p>
    <w:p w14:paraId="1A13BDEC" w14:textId="77777777" w:rsidR="00702572" w:rsidRDefault="00702572" w:rsidP="00702572">
      <w:pPr>
        <w:spacing w:after="0" w:line="240" w:lineRule="auto"/>
      </w:pPr>
    </w:p>
    <w:p w14:paraId="0269B438" w14:textId="77777777" w:rsidR="00EB4795" w:rsidRDefault="00702572" w:rsidP="00CE283E">
      <w:r>
        <w:t>Types OPAS: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2700"/>
      </w:tblGrid>
      <w:tr w:rsidR="00AC7FF9" w14:paraId="7661156F" w14:textId="77777777" w:rsidTr="00DF1AEF">
        <w:trPr>
          <w:jc w:val="center"/>
        </w:trPr>
        <w:tc>
          <w:tcPr>
            <w:tcW w:w="5395" w:type="dxa"/>
          </w:tcPr>
          <w:p w14:paraId="2C3385A3" w14:textId="77777777" w:rsidR="00AC7FF9" w:rsidRPr="00CE283E" w:rsidRDefault="006C08C7" w:rsidP="00CE283E">
            <w:pPr>
              <w:rPr>
                <w:b/>
              </w:rPr>
            </w:pPr>
            <w:r>
              <w:rPr>
                <w:b/>
              </w:rPr>
              <w:t xml:space="preserve">OPAS </w:t>
            </w:r>
            <w:r w:rsidR="00AC7FF9" w:rsidRPr="00CE283E">
              <w:rPr>
                <w:b/>
              </w:rPr>
              <w:t>Type</w:t>
            </w:r>
          </w:p>
        </w:tc>
        <w:tc>
          <w:tcPr>
            <w:tcW w:w="2700" w:type="dxa"/>
          </w:tcPr>
          <w:p w14:paraId="4F9A8805" w14:textId="77777777" w:rsidR="00AC7FF9" w:rsidRPr="00CE283E" w:rsidRDefault="00AC7FF9" w:rsidP="00CE283E">
            <w:pPr>
              <w:rPr>
                <w:b/>
              </w:rPr>
            </w:pPr>
            <w:r w:rsidRPr="00CE283E">
              <w:rPr>
                <w:b/>
              </w:rPr>
              <w:t>OGS Responsible Party</w:t>
            </w:r>
          </w:p>
        </w:tc>
      </w:tr>
      <w:tr w:rsidR="00AC7FF9" w14:paraId="138DF928" w14:textId="77777777" w:rsidTr="00DF1AEF">
        <w:trPr>
          <w:jc w:val="center"/>
        </w:trPr>
        <w:tc>
          <w:tcPr>
            <w:tcW w:w="5395" w:type="dxa"/>
          </w:tcPr>
          <w:p w14:paraId="05803991" w14:textId="77777777" w:rsidR="00AC7FF9" w:rsidRDefault="00AC7FF9" w:rsidP="00CE283E">
            <w:r>
              <w:t>Post Submission Additional Material(s)</w:t>
            </w:r>
          </w:p>
        </w:tc>
        <w:tc>
          <w:tcPr>
            <w:tcW w:w="2700" w:type="dxa"/>
          </w:tcPr>
          <w:p w14:paraId="232D1511" w14:textId="205601E6" w:rsidR="00AC7FF9" w:rsidRDefault="00A44803" w:rsidP="00CE283E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4394892B" w14:textId="77777777" w:rsidTr="00DF1AEF">
        <w:trPr>
          <w:jc w:val="center"/>
        </w:trPr>
        <w:tc>
          <w:tcPr>
            <w:tcW w:w="5395" w:type="dxa"/>
          </w:tcPr>
          <w:p w14:paraId="489C2E0D" w14:textId="77777777" w:rsidR="00AC7FF9" w:rsidRDefault="00AC7FF9" w:rsidP="00274B7D">
            <w:r>
              <w:t>No Cost Extension (NCE)</w:t>
            </w:r>
          </w:p>
        </w:tc>
        <w:tc>
          <w:tcPr>
            <w:tcW w:w="2700" w:type="dxa"/>
          </w:tcPr>
          <w:p w14:paraId="2A9F7D3E" w14:textId="4F9EE22D" w:rsidR="00AC7FF9" w:rsidRDefault="004C5860" w:rsidP="00274B7D">
            <w:proofErr w:type="spellStart"/>
            <w:r>
              <w:t>Indranil</w:t>
            </w:r>
            <w:proofErr w:type="spellEnd"/>
            <w:r w:rsidR="006121BA">
              <w:t xml:space="preserve"> </w:t>
            </w:r>
            <w:proofErr w:type="spellStart"/>
            <w:r w:rsidR="006121BA">
              <w:t>Basu</w:t>
            </w:r>
            <w:proofErr w:type="spellEnd"/>
          </w:p>
        </w:tc>
      </w:tr>
      <w:tr w:rsidR="00AC7FF9" w14:paraId="5D7A1B0F" w14:textId="77777777" w:rsidTr="00DF1AEF">
        <w:trPr>
          <w:jc w:val="center"/>
        </w:trPr>
        <w:tc>
          <w:tcPr>
            <w:tcW w:w="5395" w:type="dxa"/>
          </w:tcPr>
          <w:p w14:paraId="345F01B3" w14:textId="77777777" w:rsidR="00AC7FF9" w:rsidRDefault="00AC7FF9" w:rsidP="00274B7D">
            <w:r>
              <w:t>Title change</w:t>
            </w:r>
          </w:p>
        </w:tc>
        <w:tc>
          <w:tcPr>
            <w:tcW w:w="2700" w:type="dxa"/>
          </w:tcPr>
          <w:p w14:paraId="3BD10A04" w14:textId="1E938AA8" w:rsidR="00AC7FF9" w:rsidRDefault="00A44803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18F75DAE" w14:textId="77777777" w:rsidTr="00DF1AEF">
        <w:trPr>
          <w:jc w:val="center"/>
        </w:trPr>
        <w:tc>
          <w:tcPr>
            <w:tcW w:w="5395" w:type="dxa"/>
          </w:tcPr>
          <w:p w14:paraId="306D05F6" w14:textId="77777777" w:rsidR="00AC7FF9" w:rsidRPr="00993AD0" w:rsidRDefault="00AC7FF9" w:rsidP="00274B7D">
            <w:r w:rsidRPr="00993AD0">
              <w:t>Budget Modifications/Re-budget</w:t>
            </w:r>
          </w:p>
        </w:tc>
        <w:tc>
          <w:tcPr>
            <w:tcW w:w="2700" w:type="dxa"/>
          </w:tcPr>
          <w:p w14:paraId="618A7D57" w14:textId="7F147DA1" w:rsidR="00AC7FF9" w:rsidRPr="00993AD0" w:rsidRDefault="00AC7FF9" w:rsidP="00274B7D">
            <w:r w:rsidRPr="00993AD0">
              <w:t>Gerard</w:t>
            </w:r>
            <w:r w:rsidR="006121BA">
              <w:t xml:space="preserve"> McMorrow</w:t>
            </w:r>
          </w:p>
        </w:tc>
      </w:tr>
      <w:tr w:rsidR="00AC7FF9" w14:paraId="5740D876" w14:textId="77777777" w:rsidTr="00A75E79">
        <w:trPr>
          <w:trHeight w:val="58"/>
          <w:jc w:val="center"/>
        </w:trPr>
        <w:tc>
          <w:tcPr>
            <w:tcW w:w="5395" w:type="dxa"/>
          </w:tcPr>
          <w:p w14:paraId="64D1A557" w14:textId="77777777" w:rsidR="00AC7FF9" w:rsidRPr="00993AD0" w:rsidRDefault="00AC7FF9" w:rsidP="00274B7D">
            <w:r w:rsidRPr="00993AD0">
              <w:t>Carryover request</w:t>
            </w:r>
          </w:p>
        </w:tc>
        <w:tc>
          <w:tcPr>
            <w:tcW w:w="2700" w:type="dxa"/>
          </w:tcPr>
          <w:p w14:paraId="59C0DF3C" w14:textId="0BCA8D2C" w:rsidR="00AC7FF9" w:rsidRPr="00993AD0" w:rsidRDefault="00395EC9" w:rsidP="00274B7D">
            <w:r w:rsidRPr="00993AD0">
              <w:t>Denise</w:t>
            </w:r>
            <w:r w:rsidR="004C5860">
              <w:t xml:space="preserve"> </w:t>
            </w:r>
            <w:proofErr w:type="spellStart"/>
            <w:r w:rsidR="006121BA">
              <w:t>Giocondo</w:t>
            </w:r>
            <w:proofErr w:type="spellEnd"/>
            <w:r w:rsidR="006121BA">
              <w:t xml:space="preserve"> </w:t>
            </w:r>
            <w:r w:rsidR="004C5860">
              <w:t xml:space="preserve">and </w:t>
            </w:r>
            <w:proofErr w:type="spellStart"/>
            <w:r w:rsidR="006121BA">
              <w:t>Indranil</w:t>
            </w:r>
            <w:proofErr w:type="spellEnd"/>
            <w:r w:rsidR="006121BA">
              <w:t xml:space="preserve"> </w:t>
            </w:r>
            <w:proofErr w:type="spellStart"/>
            <w:r w:rsidR="006121BA">
              <w:t>Basu</w:t>
            </w:r>
            <w:proofErr w:type="spellEnd"/>
          </w:p>
        </w:tc>
      </w:tr>
      <w:tr w:rsidR="00AC7FF9" w14:paraId="2DF4C2E8" w14:textId="77777777" w:rsidTr="00DF1AEF">
        <w:trPr>
          <w:jc w:val="center"/>
        </w:trPr>
        <w:tc>
          <w:tcPr>
            <w:tcW w:w="5395" w:type="dxa"/>
          </w:tcPr>
          <w:p w14:paraId="6DBD14A2" w14:textId="77777777" w:rsidR="00AC7FF9" w:rsidRDefault="00AC7FF9" w:rsidP="00274B7D">
            <w:r>
              <w:t>Face page – to be signed</w:t>
            </w:r>
          </w:p>
        </w:tc>
        <w:tc>
          <w:tcPr>
            <w:tcW w:w="2700" w:type="dxa"/>
          </w:tcPr>
          <w:p w14:paraId="09CD8F07" w14:textId="7CB0BD53" w:rsidR="00AC7FF9" w:rsidRDefault="00A44803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6C220DAF" w14:textId="77777777" w:rsidTr="00DF1AEF">
        <w:trPr>
          <w:jc w:val="center"/>
        </w:trPr>
        <w:tc>
          <w:tcPr>
            <w:tcW w:w="5395" w:type="dxa"/>
          </w:tcPr>
          <w:p w14:paraId="21E5FD13" w14:textId="77777777" w:rsidR="00AC7FF9" w:rsidRDefault="00AC7FF9" w:rsidP="00274B7D">
            <w:r>
              <w:t>Statement of Intent- to be signed</w:t>
            </w:r>
          </w:p>
        </w:tc>
        <w:tc>
          <w:tcPr>
            <w:tcW w:w="2700" w:type="dxa"/>
          </w:tcPr>
          <w:p w14:paraId="0F2A7DA0" w14:textId="3BA79921" w:rsidR="00AC7FF9" w:rsidRDefault="00A44803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64F7946C" w14:textId="77777777" w:rsidTr="001F264C">
        <w:trPr>
          <w:trHeight w:val="287"/>
          <w:jc w:val="center"/>
        </w:trPr>
        <w:tc>
          <w:tcPr>
            <w:tcW w:w="5395" w:type="dxa"/>
          </w:tcPr>
          <w:p w14:paraId="7173D301" w14:textId="77777777" w:rsidR="00AC7FF9" w:rsidRDefault="00AC7FF9" w:rsidP="00274B7D">
            <w:r>
              <w:t>Compliance Requirement – IACUC or IRB</w:t>
            </w:r>
          </w:p>
        </w:tc>
        <w:tc>
          <w:tcPr>
            <w:tcW w:w="2700" w:type="dxa"/>
          </w:tcPr>
          <w:p w14:paraId="0372C4E1" w14:textId="57CEE108" w:rsidR="00AC7FF9" w:rsidRDefault="006121BA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36CE327A" w14:textId="77777777" w:rsidTr="00DF1AEF">
        <w:trPr>
          <w:jc w:val="center"/>
        </w:trPr>
        <w:tc>
          <w:tcPr>
            <w:tcW w:w="5395" w:type="dxa"/>
          </w:tcPr>
          <w:p w14:paraId="0905E547" w14:textId="77777777" w:rsidR="00AC7FF9" w:rsidRDefault="00AC7FF9" w:rsidP="00274B7D">
            <w:r>
              <w:t>Any other change or modification</w:t>
            </w:r>
          </w:p>
        </w:tc>
        <w:tc>
          <w:tcPr>
            <w:tcW w:w="2700" w:type="dxa"/>
          </w:tcPr>
          <w:p w14:paraId="423999CD" w14:textId="27AA5298" w:rsidR="00AC7FF9" w:rsidRDefault="00A44803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09452E61" w14:textId="77777777" w:rsidTr="00DF1AEF">
        <w:trPr>
          <w:jc w:val="center"/>
        </w:trPr>
        <w:tc>
          <w:tcPr>
            <w:tcW w:w="5395" w:type="dxa"/>
          </w:tcPr>
          <w:p w14:paraId="1F734678" w14:textId="77777777" w:rsidR="00AC7FF9" w:rsidRDefault="00AC7FF9" w:rsidP="00274B7D">
            <w:r>
              <w:t>Any update</w:t>
            </w:r>
          </w:p>
        </w:tc>
        <w:tc>
          <w:tcPr>
            <w:tcW w:w="2700" w:type="dxa"/>
          </w:tcPr>
          <w:p w14:paraId="24631C66" w14:textId="4C2F4F42" w:rsidR="00AC7FF9" w:rsidRDefault="00A44803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5589B612" w14:textId="77777777" w:rsidTr="00DF1AEF">
        <w:trPr>
          <w:trHeight w:val="278"/>
          <w:jc w:val="center"/>
        </w:trPr>
        <w:tc>
          <w:tcPr>
            <w:tcW w:w="5395" w:type="dxa"/>
          </w:tcPr>
          <w:p w14:paraId="3E10F0FE" w14:textId="77777777" w:rsidR="00AC7FF9" w:rsidRDefault="00AC7FF9" w:rsidP="00274B7D">
            <w:r>
              <w:t>Changing the funding opportunity</w:t>
            </w:r>
          </w:p>
        </w:tc>
        <w:tc>
          <w:tcPr>
            <w:tcW w:w="2700" w:type="dxa"/>
          </w:tcPr>
          <w:p w14:paraId="2AFA0B21" w14:textId="4E00801A" w:rsidR="00AC7FF9" w:rsidRDefault="00A44803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337D0993" w14:textId="77777777" w:rsidTr="00DF1AEF">
        <w:trPr>
          <w:jc w:val="center"/>
        </w:trPr>
        <w:tc>
          <w:tcPr>
            <w:tcW w:w="5395" w:type="dxa"/>
          </w:tcPr>
          <w:p w14:paraId="1F1ABC83" w14:textId="77777777" w:rsidR="00AC7FF9" w:rsidRDefault="00AC7FF9" w:rsidP="00274B7D">
            <w:r>
              <w:t>Withdraw application</w:t>
            </w:r>
          </w:p>
        </w:tc>
        <w:tc>
          <w:tcPr>
            <w:tcW w:w="2700" w:type="dxa"/>
          </w:tcPr>
          <w:p w14:paraId="5FBEBD9D" w14:textId="043F3938" w:rsidR="00AC7FF9" w:rsidRDefault="00A44803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</w:p>
        </w:tc>
      </w:tr>
      <w:tr w:rsidR="00AC7FF9" w14:paraId="1DC42C2B" w14:textId="77777777" w:rsidTr="00DF1AEF">
        <w:trPr>
          <w:jc w:val="center"/>
        </w:trPr>
        <w:tc>
          <w:tcPr>
            <w:tcW w:w="5395" w:type="dxa"/>
          </w:tcPr>
          <w:p w14:paraId="5EE52890" w14:textId="77777777" w:rsidR="00AC7FF9" w:rsidRDefault="00AC7FF9" w:rsidP="00274B7D">
            <w:r>
              <w:t>Relinquishing Statement</w:t>
            </w:r>
            <w:r w:rsidR="004B47D2">
              <w:t xml:space="preserve"> (RS)</w:t>
            </w:r>
          </w:p>
        </w:tc>
        <w:tc>
          <w:tcPr>
            <w:tcW w:w="2700" w:type="dxa"/>
          </w:tcPr>
          <w:p w14:paraId="18520630" w14:textId="2EF8B68E" w:rsidR="00AC7FF9" w:rsidRPr="00277165" w:rsidRDefault="004C5860" w:rsidP="00274B7D">
            <w:r>
              <w:t xml:space="preserve">Denise </w:t>
            </w:r>
            <w:proofErr w:type="spellStart"/>
            <w:r w:rsidR="006121BA">
              <w:t>Giocondo</w:t>
            </w:r>
            <w:proofErr w:type="spellEnd"/>
            <w:r w:rsidR="006121BA">
              <w:t xml:space="preserve"> </w:t>
            </w:r>
            <w:r>
              <w:t xml:space="preserve">and </w:t>
            </w:r>
            <w:proofErr w:type="spellStart"/>
            <w:r w:rsidR="006121BA">
              <w:t>Indranil</w:t>
            </w:r>
            <w:proofErr w:type="spellEnd"/>
            <w:r w:rsidR="006121BA">
              <w:t xml:space="preserve"> </w:t>
            </w:r>
            <w:proofErr w:type="spellStart"/>
            <w:r w:rsidR="006121BA">
              <w:t>Basu</w:t>
            </w:r>
            <w:proofErr w:type="spellEnd"/>
          </w:p>
        </w:tc>
      </w:tr>
      <w:tr w:rsidR="00AC7FF9" w14:paraId="001BFE82" w14:textId="77777777" w:rsidTr="00DF1AEF">
        <w:trPr>
          <w:jc w:val="center"/>
        </w:trPr>
        <w:tc>
          <w:tcPr>
            <w:tcW w:w="5395" w:type="dxa"/>
          </w:tcPr>
          <w:p w14:paraId="09DF211A" w14:textId="77777777" w:rsidR="00AC7FF9" w:rsidRDefault="00AC7FF9" w:rsidP="009A7E8E">
            <w:r>
              <w:t>Final Invention Statement</w:t>
            </w:r>
            <w:r w:rsidR="004B47D2">
              <w:t xml:space="preserve"> (FIS)</w:t>
            </w:r>
            <w:r w:rsidR="00E92E69">
              <w:t xml:space="preserve"> </w:t>
            </w:r>
          </w:p>
        </w:tc>
        <w:tc>
          <w:tcPr>
            <w:tcW w:w="2700" w:type="dxa"/>
          </w:tcPr>
          <w:p w14:paraId="50058DC1" w14:textId="6FA72888" w:rsidR="00E92E69" w:rsidRDefault="006121BA" w:rsidP="00274B7D">
            <w:proofErr w:type="spellStart"/>
            <w:r>
              <w:t>Indranil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  <w:r>
              <w:t xml:space="preserve"> </w:t>
            </w:r>
            <w:r w:rsidR="004C5860">
              <w:t>and OBBD</w:t>
            </w:r>
          </w:p>
        </w:tc>
      </w:tr>
      <w:tr w:rsidR="006C08C7" w14:paraId="353A0389" w14:textId="77777777" w:rsidTr="00DF1AEF">
        <w:trPr>
          <w:jc w:val="center"/>
        </w:trPr>
        <w:tc>
          <w:tcPr>
            <w:tcW w:w="5395" w:type="dxa"/>
          </w:tcPr>
          <w:p w14:paraId="4CFF6917" w14:textId="77777777" w:rsidR="006C08C7" w:rsidRDefault="006C08C7" w:rsidP="009A7E8E">
            <w:r>
              <w:t>Other</w:t>
            </w:r>
          </w:p>
        </w:tc>
        <w:tc>
          <w:tcPr>
            <w:tcW w:w="2700" w:type="dxa"/>
          </w:tcPr>
          <w:p w14:paraId="7D6F631B" w14:textId="4B5A69B5" w:rsidR="006C08C7" w:rsidRDefault="00A44803" w:rsidP="00274B7D">
            <w:proofErr w:type="spellStart"/>
            <w:r>
              <w:t>Indranil</w:t>
            </w:r>
            <w:proofErr w:type="spellEnd"/>
            <w:r>
              <w:t xml:space="preserve"> Basu</w:t>
            </w:r>
          </w:p>
        </w:tc>
      </w:tr>
    </w:tbl>
    <w:p w14:paraId="0DA67B02" w14:textId="77777777" w:rsidR="00EB4795" w:rsidRDefault="006C08C7" w:rsidP="00EB4795">
      <w:pPr>
        <w:ind w:left="360"/>
      </w:pPr>
      <w:r>
        <w:tab/>
      </w:r>
      <w:r>
        <w:tab/>
      </w:r>
    </w:p>
    <w:p w14:paraId="46C9C635" w14:textId="77777777" w:rsidR="00EB4795" w:rsidRDefault="00F9190C" w:rsidP="00EB4795">
      <w:r>
        <w:t xml:space="preserve">OPAS </w:t>
      </w:r>
      <w:r w:rsidR="00EB4795">
        <w:t xml:space="preserve">Procedure - The OPAS </w:t>
      </w:r>
      <w:r w:rsidR="00BC5A17">
        <w:t xml:space="preserve">routing </w:t>
      </w:r>
      <w:r w:rsidR="00EB4795">
        <w:t xml:space="preserve">procedure </w:t>
      </w:r>
      <w:r w:rsidR="00EB4795" w:rsidRPr="00E92E69">
        <w:rPr>
          <w:b/>
          <w:u w:val="single"/>
        </w:rPr>
        <w:t>doesn’t</w:t>
      </w:r>
      <w:r w:rsidR="00EB4795">
        <w:t xml:space="preserve"> take place within new Cayuse.</w:t>
      </w:r>
    </w:p>
    <w:p w14:paraId="45C5A7DC" w14:textId="77777777" w:rsidR="00EB4795" w:rsidRDefault="00EB4795" w:rsidP="00EB4795">
      <w:r w:rsidRPr="006C08C7">
        <w:rPr>
          <w:b/>
        </w:rPr>
        <w:t>Administrator takes the following actions</w:t>
      </w:r>
      <w:r>
        <w:t>;</w:t>
      </w:r>
    </w:p>
    <w:p w14:paraId="4AC57D23" w14:textId="77777777" w:rsidR="005D68F3" w:rsidRDefault="005D68F3" w:rsidP="005D68F3">
      <w:pPr>
        <w:pStyle w:val="ListParagraph"/>
        <w:numPr>
          <w:ilvl w:val="0"/>
          <w:numId w:val="2"/>
        </w:numPr>
      </w:pPr>
      <w:r>
        <w:t xml:space="preserve">Any applicable documentation, including sponsor’s original request or draft document(s) should be uploaded to the SP Proposal. document type = OPAS. Please title the document using OPAS Types listed above. If there </w:t>
      </w:r>
      <w:r w:rsidR="00283D58">
        <w:t>isn’t an SP record</w:t>
      </w:r>
      <w:r>
        <w:t xml:space="preserve">, please see Legacy-OPAS instructions below. </w:t>
      </w:r>
    </w:p>
    <w:p w14:paraId="155E75DE" w14:textId="77777777" w:rsidR="00EB4795" w:rsidRDefault="00EB4795" w:rsidP="00EB4795">
      <w:pPr>
        <w:pStyle w:val="ListParagraph"/>
        <w:numPr>
          <w:ilvl w:val="0"/>
          <w:numId w:val="2"/>
        </w:numPr>
      </w:pPr>
      <w:r>
        <w:t>Emails OGS with the subject “OPAS-20-XXXX [Proposal #]-Proposal Type [from the list above]-Sponsor due date</w:t>
      </w:r>
      <w:r w:rsidR="00BC5A17">
        <w:t>.</w:t>
      </w:r>
    </w:p>
    <w:p w14:paraId="63DC8A6E" w14:textId="77777777" w:rsidR="00EB4795" w:rsidRDefault="00EB4795" w:rsidP="00EB4795">
      <w:pPr>
        <w:pStyle w:val="ListParagraph"/>
        <w:numPr>
          <w:ilvl w:val="1"/>
          <w:numId w:val="2"/>
        </w:numPr>
      </w:pPr>
      <w:r>
        <w:t>The email body should include the following:</w:t>
      </w:r>
    </w:p>
    <w:p w14:paraId="1EB7946D" w14:textId="77777777" w:rsidR="00EB4795" w:rsidRDefault="00EB4795" w:rsidP="00EB4795">
      <w:pPr>
        <w:pStyle w:val="ListParagraph"/>
        <w:numPr>
          <w:ilvl w:val="2"/>
          <w:numId w:val="2"/>
        </w:numPr>
      </w:pPr>
      <w:r>
        <w:t>If not in the subject:</w:t>
      </w:r>
    </w:p>
    <w:p w14:paraId="03C5D3BF" w14:textId="77777777" w:rsidR="00EB4795" w:rsidRDefault="00EB4795" w:rsidP="00EB4795">
      <w:pPr>
        <w:pStyle w:val="ListParagraph"/>
        <w:numPr>
          <w:ilvl w:val="3"/>
          <w:numId w:val="2"/>
        </w:numPr>
      </w:pPr>
      <w:r>
        <w:t>Proposal #</w:t>
      </w:r>
    </w:p>
    <w:p w14:paraId="5758F810" w14:textId="77777777" w:rsidR="00EB4795" w:rsidRDefault="00EB4795" w:rsidP="00EB4795">
      <w:pPr>
        <w:pStyle w:val="ListParagraph"/>
        <w:numPr>
          <w:ilvl w:val="3"/>
          <w:numId w:val="2"/>
        </w:numPr>
      </w:pPr>
      <w:r>
        <w:t>Proposal Type</w:t>
      </w:r>
    </w:p>
    <w:p w14:paraId="0B316810" w14:textId="77777777" w:rsidR="00EB4795" w:rsidRDefault="00EB4795" w:rsidP="00EB4795">
      <w:pPr>
        <w:pStyle w:val="ListParagraph"/>
        <w:numPr>
          <w:ilvl w:val="3"/>
          <w:numId w:val="2"/>
        </w:numPr>
      </w:pPr>
      <w:r>
        <w:t>Sponsor due date</w:t>
      </w:r>
    </w:p>
    <w:p w14:paraId="0171F706" w14:textId="77777777" w:rsidR="00EB4795" w:rsidRDefault="00EB4795" w:rsidP="00EB4795">
      <w:pPr>
        <w:pStyle w:val="ListParagraph"/>
        <w:numPr>
          <w:ilvl w:val="2"/>
          <w:numId w:val="2"/>
        </w:numPr>
      </w:pPr>
      <w:r>
        <w:t>PI name</w:t>
      </w:r>
    </w:p>
    <w:p w14:paraId="0C1E400E" w14:textId="77777777" w:rsidR="00EB4795" w:rsidRDefault="00EB4795" w:rsidP="00EB4795">
      <w:pPr>
        <w:pStyle w:val="ListParagraph"/>
        <w:numPr>
          <w:ilvl w:val="2"/>
          <w:numId w:val="2"/>
        </w:numPr>
      </w:pPr>
      <w:r>
        <w:t xml:space="preserve">Describe the OPAS </w:t>
      </w:r>
      <w:r w:rsidR="00470C29">
        <w:t xml:space="preserve">requested </w:t>
      </w:r>
      <w:r>
        <w:t>action</w:t>
      </w:r>
    </w:p>
    <w:p w14:paraId="7F8C0644" w14:textId="77777777" w:rsidR="006C08C7" w:rsidRDefault="006C08C7">
      <w:r>
        <w:br w:type="page"/>
      </w:r>
    </w:p>
    <w:p w14:paraId="39D9585A" w14:textId="77777777" w:rsidR="00470C29" w:rsidRPr="006C08C7" w:rsidRDefault="00AC7FF9" w:rsidP="00470C29">
      <w:pPr>
        <w:rPr>
          <w:b/>
        </w:rPr>
      </w:pPr>
      <w:r w:rsidRPr="006C08C7">
        <w:rPr>
          <w:b/>
        </w:rPr>
        <w:lastRenderedPageBreak/>
        <w:t>OGS</w:t>
      </w:r>
      <w:r w:rsidR="00395EC9">
        <w:rPr>
          <w:b/>
        </w:rPr>
        <w:t>/RF</w:t>
      </w:r>
      <w:r w:rsidR="00470C29" w:rsidRPr="006C08C7">
        <w:rPr>
          <w:b/>
        </w:rPr>
        <w:t xml:space="preserve"> takes the following actions;</w:t>
      </w:r>
    </w:p>
    <w:p w14:paraId="621F374E" w14:textId="77777777" w:rsidR="00470C29" w:rsidRDefault="00470C29" w:rsidP="00470C29">
      <w:pPr>
        <w:pStyle w:val="ListParagraph"/>
        <w:numPr>
          <w:ilvl w:val="0"/>
          <w:numId w:val="2"/>
        </w:numPr>
      </w:pPr>
      <w:r>
        <w:t>Review</w:t>
      </w:r>
      <w:r w:rsidR="00F9190C">
        <w:t>s</w:t>
      </w:r>
      <w:r>
        <w:t xml:space="preserve"> the request</w:t>
      </w:r>
    </w:p>
    <w:p w14:paraId="62999788" w14:textId="77777777" w:rsidR="00470C29" w:rsidRDefault="00AC7FF9" w:rsidP="00470C29">
      <w:pPr>
        <w:pStyle w:val="ListParagraph"/>
        <w:numPr>
          <w:ilvl w:val="0"/>
          <w:numId w:val="2"/>
        </w:numPr>
      </w:pPr>
      <w:r>
        <w:t>OGS</w:t>
      </w:r>
      <w:r w:rsidR="00395EC9">
        <w:t>/RF</w:t>
      </w:r>
      <w:r w:rsidR="0029547D">
        <w:t xml:space="preserve"> will suggest any edits</w:t>
      </w:r>
    </w:p>
    <w:p w14:paraId="39572156" w14:textId="77777777" w:rsidR="0029547D" w:rsidRDefault="0029547D" w:rsidP="00470C29">
      <w:pPr>
        <w:pStyle w:val="ListParagraph"/>
        <w:numPr>
          <w:ilvl w:val="0"/>
          <w:numId w:val="2"/>
        </w:numPr>
      </w:pPr>
      <w:r>
        <w:t xml:space="preserve">If approved, </w:t>
      </w:r>
      <w:r w:rsidR="00AC7FF9">
        <w:t>OGS</w:t>
      </w:r>
      <w:r w:rsidR="00395EC9">
        <w:t>/RF</w:t>
      </w:r>
      <w:r>
        <w:t xml:space="preserve"> will either send to the Administrator or the Sponsor, depending on the</w:t>
      </w:r>
      <w:r w:rsidR="005D68F3">
        <w:t xml:space="preserve"> administrator’s request</w:t>
      </w:r>
      <w:r>
        <w:t xml:space="preserve">. </w:t>
      </w:r>
      <w:r w:rsidRPr="009A7E8E">
        <w:t>If OGS</w:t>
      </w:r>
      <w:r w:rsidR="00395EC9">
        <w:t>/RF</w:t>
      </w:r>
      <w:r w:rsidRPr="009A7E8E">
        <w:t xml:space="preserve"> is sending to the sponsor, then </w:t>
      </w:r>
      <w:r w:rsidR="00AC7FF9" w:rsidRPr="009A7E8E">
        <w:t>OGS</w:t>
      </w:r>
      <w:r w:rsidR="00F9190C" w:rsidRPr="009A7E8E">
        <w:t xml:space="preserve"> will send to the sponsor and</w:t>
      </w:r>
      <w:r w:rsidRPr="009A7E8E">
        <w:t xml:space="preserve"> copy the </w:t>
      </w:r>
      <w:r w:rsidR="00E92E69" w:rsidRPr="009A7E8E">
        <w:t xml:space="preserve">PI and </w:t>
      </w:r>
      <w:r w:rsidRPr="009A7E8E">
        <w:t>Administrator</w:t>
      </w:r>
      <w:r w:rsidR="005D68F3">
        <w:t>, if requested</w:t>
      </w:r>
      <w:r w:rsidRPr="009A7E8E">
        <w:t xml:space="preserve">. </w:t>
      </w:r>
    </w:p>
    <w:p w14:paraId="5EA6AD6B" w14:textId="77777777" w:rsidR="005D68F3" w:rsidRDefault="005D68F3" w:rsidP="005D68F3">
      <w:pPr>
        <w:pStyle w:val="ListParagraph"/>
      </w:pPr>
    </w:p>
    <w:p w14:paraId="3B57BF28" w14:textId="77777777" w:rsidR="006C08C7" w:rsidRDefault="006C08C7" w:rsidP="006C08C7">
      <w:r w:rsidRPr="006C08C7">
        <w:rPr>
          <w:b/>
        </w:rPr>
        <w:t>Administrator takes the following actions</w:t>
      </w:r>
      <w:r>
        <w:t>;</w:t>
      </w:r>
    </w:p>
    <w:p w14:paraId="304D40D7" w14:textId="77777777" w:rsidR="006C08C7" w:rsidRDefault="005D68F3" w:rsidP="005D68F3">
      <w:pPr>
        <w:pStyle w:val="ListParagraph"/>
        <w:numPr>
          <w:ilvl w:val="0"/>
          <w:numId w:val="2"/>
        </w:numPr>
      </w:pPr>
      <w:r>
        <w:t>Once OGS</w:t>
      </w:r>
      <w:r w:rsidR="00395EC9">
        <w:t>/RF</w:t>
      </w:r>
      <w:r>
        <w:t xml:space="preserve"> notifies that the OPAS is approved. The Administrator can proceed with communicating to the sponsor which may include downloading signed document(s) from Cayuse SP. </w:t>
      </w:r>
    </w:p>
    <w:p w14:paraId="1EBD53BF" w14:textId="77777777" w:rsidR="006C08C7" w:rsidRDefault="006C08C7" w:rsidP="006C08C7"/>
    <w:p w14:paraId="48E0CFCC" w14:textId="77777777" w:rsidR="006C08C7" w:rsidRPr="009A7E8E" w:rsidRDefault="006C08C7" w:rsidP="006C08C7"/>
    <w:sectPr w:rsidR="006C08C7" w:rsidRPr="009A7E8E" w:rsidSect="00BC5A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567"/>
    <w:multiLevelType w:val="hybridMultilevel"/>
    <w:tmpl w:val="CBCE1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5B0D"/>
    <w:multiLevelType w:val="hybridMultilevel"/>
    <w:tmpl w:val="B48A8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5F77"/>
    <w:multiLevelType w:val="hybridMultilevel"/>
    <w:tmpl w:val="CBCE1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57ED"/>
    <w:multiLevelType w:val="hybridMultilevel"/>
    <w:tmpl w:val="CBCE1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6519"/>
    <w:multiLevelType w:val="hybridMultilevel"/>
    <w:tmpl w:val="4B52D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D0AEC"/>
    <w:multiLevelType w:val="hybridMultilevel"/>
    <w:tmpl w:val="4CFCD2D0"/>
    <w:lvl w:ilvl="0" w:tplc="A3AC97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2B93"/>
    <w:multiLevelType w:val="hybridMultilevel"/>
    <w:tmpl w:val="A52E6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80368"/>
    <w:multiLevelType w:val="hybridMultilevel"/>
    <w:tmpl w:val="CBCE1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17ABD"/>
    <w:multiLevelType w:val="hybridMultilevel"/>
    <w:tmpl w:val="CBCE1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27D73"/>
    <w:multiLevelType w:val="hybridMultilevel"/>
    <w:tmpl w:val="4B52D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41D1"/>
    <w:multiLevelType w:val="hybridMultilevel"/>
    <w:tmpl w:val="CBCE1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E29F8"/>
    <w:multiLevelType w:val="hybridMultilevel"/>
    <w:tmpl w:val="CBCE1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838356">
    <w:abstractNumId w:val="5"/>
  </w:num>
  <w:num w:numId="2" w16cid:durableId="283778989">
    <w:abstractNumId w:val="4"/>
  </w:num>
  <w:num w:numId="3" w16cid:durableId="1517310061">
    <w:abstractNumId w:val="8"/>
  </w:num>
  <w:num w:numId="4" w16cid:durableId="191460077">
    <w:abstractNumId w:val="3"/>
  </w:num>
  <w:num w:numId="5" w16cid:durableId="1983659015">
    <w:abstractNumId w:val="10"/>
  </w:num>
  <w:num w:numId="6" w16cid:durableId="1949193892">
    <w:abstractNumId w:val="0"/>
  </w:num>
  <w:num w:numId="7" w16cid:durableId="297804247">
    <w:abstractNumId w:val="11"/>
  </w:num>
  <w:num w:numId="8" w16cid:durableId="214045740">
    <w:abstractNumId w:val="2"/>
  </w:num>
  <w:num w:numId="9" w16cid:durableId="1682049756">
    <w:abstractNumId w:val="7"/>
  </w:num>
  <w:num w:numId="10" w16cid:durableId="1339381460">
    <w:abstractNumId w:val="9"/>
  </w:num>
  <w:num w:numId="11" w16cid:durableId="109865235">
    <w:abstractNumId w:val="1"/>
  </w:num>
  <w:num w:numId="12" w16cid:durableId="1021928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72"/>
    <w:rsid w:val="001265AA"/>
    <w:rsid w:val="00146E2F"/>
    <w:rsid w:val="001F264C"/>
    <w:rsid w:val="00274B7D"/>
    <w:rsid w:val="00283D58"/>
    <w:rsid w:val="0029547D"/>
    <w:rsid w:val="00395EC9"/>
    <w:rsid w:val="00470C29"/>
    <w:rsid w:val="004B47D2"/>
    <w:rsid w:val="004C5860"/>
    <w:rsid w:val="005D68F3"/>
    <w:rsid w:val="006121BA"/>
    <w:rsid w:val="006B6CEE"/>
    <w:rsid w:val="006C08C7"/>
    <w:rsid w:val="00702572"/>
    <w:rsid w:val="00785B47"/>
    <w:rsid w:val="007956FC"/>
    <w:rsid w:val="008E53B3"/>
    <w:rsid w:val="00946F91"/>
    <w:rsid w:val="00993AD0"/>
    <w:rsid w:val="009A7E8E"/>
    <w:rsid w:val="00A35C79"/>
    <w:rsid w:val="00A44803"/>
    <w:rsid w:val="00A702CF"/>
    <w:rsid w:val="00A75E79"/>
    <w:rsid w:val="00AC7FF9"/>
    <w:rsid w:val="00B6771D"/>
    <w:rsid w:val="00B90A6C"/>
    <w:rsid w:val="00BC5A17"/>
    <w:rsid w:val="00CE283E"/>
    <w:rsid w:val="00DF1AEF"/>
    <w:rsid w:val="00E20FB3"/>
    <w:rsid w:val="00E7266B"/>
    <w:rsid w:val="00E92E69"/>
    <w:rsid w:val="00EB4795"/>
    <w:rsid w:val="00ED6AB5"/>
    <w:rsid w:val="00F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8A28"/>
  <w15:chartTrackingRefBased/>
  <w15:docId w15:val="{E1D36513-26D3-4162-9126-D2AF871D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572"/>
    <w:pPr>
      <w:ind w:left="720"/>
      <w:contextualSpacing/>
    </w:pPr>
  </w:style>
  <w:style w:type="table" w:styleId="TableGrid">
    <w:name w:val="Table Grid"/>
    <w:basedOn w:val="TableNormal"/>
    <w:uiPriority w:val="39"/>
    <w:rsid w:val="00CE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2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Einstein COM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Locke</dc:creator>
  <cp:keywords/>
  <dc:description/>
  <cp:lastModifiedBy>Melanie Bourghol</cp:lastModifiedBy>
  <cp:revision>2</cp:revision>
  <cp:lastPrinted>2021-04-26T15:21:00Z</cp:lastPrinted>
  <dcterms:created xsi:type="dcterms:W3CDTF">2023-10-02T17:45:00Z</dcterms:created>
  <dcterms:modified xsi:type="dcterms:W3CDTF">2023-10-02T17:45:00Z</dcterms:modified>
</cp:coreProperties>
</file>