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726A" w14:textId="77777777" w:rsidR="00B515AA" w:rsidRPr="00DB6A68" w:rsidRDefault="00854ABE" w:rsidP="00B515AA">
      <w:pPr>
        <w:pStyle w:val="Heading1"/>
        <w:rPr>
          <w:b/>
        </w:rPr>
      </w:pPr>
      <w:bookmarkStart w:id="0" w:name="_Toc422721944"/>
      <w:r>
        <w:rPr>
          <w:b/>
        </w:rPr>
        <w:t>Chemical Synthesis</w:t>
      </w:r>
      <w:r w:rsidR="00B515AA" w:rsidRPr="00DB6A68">
        <w:rPr>
          <w:b/>
        </w:rPr>
        <w:t xml:space="preserve"> Core</w:t>
      </w:r>
      <w:bookmarkEnd w:id="0"/>
    </w:p>
    <w:p w14:paraId="5D5513C3" w14:textId="77777777" w:rsidR="00B515AA" w:rsidRDefault="00B515AA" w:rsidP="00B515AA"/>
    <w:p w14:paraId="23E41614" w14:textId="5E6BECAC" w:rsidR="00854ABE" w:rsidRDefault="00854ABE" w:rsidP="00B67DD1">
      <w:pPr>
        <w:jc w:val="both"/>
      </w:pPr>
      <w:r>
        <w:t xml:space="preserve">The Chemical Synthesis Core </w:t>
      </w:r>
      <w:r w:rsidRPr="00854ABE">
        <w:t xml:space="preserve">is equipped with state-of-the-art instrumentations to perform demanding chemical reactions (Schlenk technique, low temperature, photochemical, chiral synthesis, organometallics, carbohydrates, peptides, pressure reactions, isotopic labeling, </w:t>
      </w:r>
      <w:r w:rsidR="00B67DD1">
        <w:t xml:space="preserve">microwave </w:t>
      </w:r>
      <w:r w:rsidRPr="00854ABE">
        <w:t>etc.)</w:t>
      </w:r>
      <w:r w:rsidR="00B67DD1">
        <w:t>, purification, and state-of-the-art chemical analysis</w:t>
      </w:r>
      <w:r w:rsidRPr="00854ABE">
        <w:t>.  We offer services related to chemical synthesis and it is our goal to custom tailor solutions for each client</w:t>
      </w:r>
      <w:r w:rsidR="00B67DD1">
        <w:t>, from feasibility consultation and scale-up analysis to multistep syntheses and purification of complex mixtures</w:t>
      </w:r>
      <w:r w:rsidRPr="00854ABE">
        <w:t>. No matter if it is the simple synthesis of a reference compound or collaboration throughout an entire project – from the grant application to the published work – we will address your needs on an individual level. If there is a chemistry-related service that you do not find in our portfolio – please don't hesitate to give us a call. We are always curious about new ideas and directions.</w:t>
      </w:r>
    </w:p>
    <w:p w14:paraId="4E216219" w14:textId="77777777" w:rsidR="00D922F1" w:rsidRDefault="00D922F1" w:rsidP="00B67DD1">
      <w:pPr>
        <w:jc w:val="both"/>
      </w:pPr>
    </w:p>
    <w:p w14:paraId="028B1715" w14:textId="780A7600" w:rsidR="00D922F1" w:rsidRPr="00D922F1" w:rsidRDefault="00D922F1" w:rsidP="00B67DD1">
      <w:pPr>
        <w:jc w:val="both"/>
        <w:rPr>
          <w:b/>
          <w:bCs/>
        </w:rPr>
      </w:pPr>
      <w:r w:rsidRPr="00D922F1">
        <w:rPr>
          <w:b/>
          <w:bCs/>
        </w:rPr>
        <w:t>SERVICES AND CAPABILITIES</w:t>
      </w:r>
    </w:p>
    <w:p w14:paraId="5CA44AC8" w14:textId="77777777" w:rsidR="00D922F1" w:rsidRPr="00854ABE" w:rsidRDefault="00D922F1" w:rsidP="00B67DD1">
      <w:pPr>
        <w:jc w:val="both"/>
      </w:pPr>
    </w:p>
    <w:p w14:paraId="002FC8DF" w14:textId="77777777" w:rsidR="00854ABE" w:rsidRDefault="00854ABE" w:rsidP="00854ABE">
      <w:pPr>
        <w:numPr>
          <w:ilvl w:val="0"/>
          <w:numId w:val="1"/>
        </w:numPr>
        <w:rPr>
          <w:b/>
          <w:bCs/>
        </w:rPr>
      </w:pPr>
      <w:r w:rsidRPr="00D922F1">
        <w:rPr>
          <w:b/>
          <w:bCs/>
        </w:rPr>
        <w:t>Custom chemical synthesis</w:t>
      </w:r>
    </w:p>
    <w:p w14:paraId="22CF4080" w14:textId="7EF390C4" w:rsidR="00961E56" w:rsidRDefault="00961E56" w:rsidP="00961E56">
      <w:pPr>
        <w:ind w:left="360"/>
        <w:jc w:val="both"/>
      </w:pPr>
      <w:r>
        <w:t>We possess long-standing experience in synthesizing organic molecules (</w:t>
      </w:r>
      <w:r w:rsidRPr="00FD7138">
        <w:rPr>
          <w:i/>
          <w:iCs/>
        </w:rPr>
        <w:t>e.g.,</w:t>
      </w:r>
      <w:r>
        <w:t xml:space="preserve"> small molecules, molecular probes, labeled compounds) at scales ranging from mg to multigram (e.g., for tox</w:t>
      </w:r>
      <w:r w:rsidR="00FD7138">
        <w:t>icity</w:t>
      </w:r>
      <w:r>
        <w:t xml:space="preserve"> studies). Our members can troubleshoot and optimize multistep routes to deliver products </w:t>
      </w:r>
      <w:r w:rsidR="00FD7138">
        <w:t>of</w:t>
      </w:r>
      <w:r>
        <w:t xml:space="preserve"> high purity and within your budget.</w:t>
      </w:r>
    </w:p>
    <w:p w14:paraId="3A7B278A" w14:textId="77777777" w:rsidR="00961E56" w:rsidRPr="00961E56" w:rsidRDefault="00961E56" w:rsidP="00961E56">
      <w:pPr>
        <w:ind w:left="360"/>
        <w:jc w:val="both"/>
      </w:pPr>
    </w:p>
    <w:p w14:paraId="4439D10D" w14:textId="7EAC4CEF" w:rsidR="00854ABE" w:rsidRPr="00854ABE" w:rsidRDefault="00854ABE" w:rsidP="00854ABE">
      <w:pPr>
        <w:numPr>
          <w:ilvl w:val="1"/>
          <w:numId w:val="1"/>
        </w:numPr>
      </w:pPr>
      <w:r w:rsidRPr="00854ABE">
        <w:t xml:space="preserve">Multi-step synthesis of </w:t>
      </w:r>
      <w:r w:rsidR="00B67DD1">
        <w:t>individual</w:t>
      </w:r>
      <w:r w:rsidRPr="00854ABE">
        <w:t xml:space="preserve"> compounds</w:t>
      </w:r>
    </w:p>
    <w:p w14:paraId="7915C8D8" w14:textId="33107006" w:rsidR="00854ABE" w:rsidRPr="00854ABE" w:rsidRDefault="00854ABE" w:rsidP="00854ABE">
      <w:pPr>
        <w:numPr>
          <w:ilvl w:val="1"/>
          <w:numId w:val="1"/>
        </w:numPr>
      </w:pPr>
      <w:r w:rsidRPr="00854ABE">
        <w:t>Library and analogue</w:t>
      </w:r>
      <w:r w:rsidR="00B67DD1">
        <w:t>s</w:t>
      </w:r>
      <w:r w:rsidRPr="00854ABE">
        <w:t xml:space="preserve"> synthesis</w:t>
      </w:r>
    </w:p>
    <w:p w14:paraId="53C70EFD" w14:textId="77777777" w:rsidR="00854ABE" w:rsidRPr="00854ABE" w:rsidRDefault="00854ABE" w:rsidP="00854ABE">
      <w:pPr>
        <w:numPr>
          <w:ilvl w:val="1"/>
          <w:numId w:val="1"/>
        </w:numPr>
      </w:pPr>
      <w:r w:rsidRPr="00854ABE">
        <w:t>Bioconjugation</w:t>
      </w:r>
    </w:p>
    <w:p w14:paraId="1696D7F4" w14:textId="69FB8F33" w:rsidR="00854ABE" w:rsidRDefault="00854ABE" w:rsidP="00854ABE">
      <w:pPr>
        <w:numPr>
          <w:ilvl w:val="1"/>
          <w:numId w:val="1"/>
        </w:numPr>
      </w:pPr>
      <w:r w:rsidRPr="00854ABE">
        <w:t>Scale-up and batch synthesis</w:t>
      </w:r>
      <w:r w:rsidR="00B67DD1">
        <w:t xml:space="preserve"> (from mg to multigram scale)</w:t>
      </w:r>
    </w:p>
    <w:p w14:paraId="331B4F76" w14:textId="7894437B" w:rsidR="00FD7138" w:rsidRDefault="00FD7138" w:rsidP="00854ABE">
      <w:pPr>
        <w:numPr>
          <w:ilvl w:val="1"/>
          <w:numId w:val="1"/>
        </w:numPr>
      </w:pPr>
      <w:r>
        <w:t>Air sensitive organometallic chemistry, microwave reactions, photochemistry, etc.</w:t>
      </w:r>
    </w:p>
    <w:p w14:paraId="5F4013A1" w14:textId="77777777" w:rsidR="00961E56" w:rsidRPr="00854ABE" w:rsidRDefault="00961E56" w:rsidP="00961E56">
      <w:pPr>
        <w:ind w:left="1440"/>
      </w:pPr>
    </w:p>
    <w:p w14:paraId="33E76F87" w14:textId="77777777" w:rsidR="00854ABE" w:rsidRDefault="00854ABE" w:rsidP="00854ABE">
      <w:pPr>
        <w:numPr>
          <w:ilvl w:val="0"/>
          <w:numId w:val="1"/>
        </w:numPr>
        <w:rPr>
          <w:b/>
          <w:bCs/>
        </w:rPr>
      </w:pPr>
      <w:r w:rsidRPr="00D922F1">
        <w:rPr>
          <w:b/>
          <w:bCs/>
        </w:rPr>
        <w:t>Synthesis consulting &amp; project planning</w:t>
      </w:r>
    </w:p>
    <w:p w14:paraId="509BA844" w14:textId="22BF8F2A" w:rsidR="00961E56" w:rsidRDefault="00961E56" w:rsidP="00C1452B">
      <w:pPr>
        <w:ind w:left="360"/>
        <w:jc w:val="both"/>
      </w:pPr>
      <w:r>
        <w:t>Our experiences chemists can devise the ideal synthetic route within your budget and time to deliver the compounds your request. Our commitment is to help you secure funding opportunities, and we can help you draft our applications.</w:t>
      </w:r>
      <w:r w:rsidR="00C1452B">
        <w:t xml:space="preserve"> The core will </w:t>
      </w:r>
      <w:r w:rsidR="002272D0">
        <w:t>help</w:t>
      </w:r>
      <w:r w:rsidR="00C1452B">
        <w:t xml:space="preserve"> members of the Einstein community </w:t>
      </w:r>
      <w:r w:rsidR="00C1452B" w:rsidRPr="00DB716B">
        <w:t xml:space="preserve">in </w:t>
      </w:r>
      <w:r w:rsidR="00C1452B">
        <w:t xml:space="preserve">the </w:t>
      </w:r>
      <w:r w:rsidR="00C1452B" w:rsidRPr="00DB716B">
        <w:t xml:space="preserve">preparation of figures and tables to meet the highest standards required for </w:t>
      </w:r>
      <w:r w:rsidR="00C1452B">
        <w:t xml:space="preserve">scientific </w:t>
      </w:r>
      <w:r w:rsidR="00C1452B" w:rsidRPr="00DB716B">
        <w:t>publication</w:t>
      </w:r>
      <w:r w:rsidR="00C1452B">
        <w:t>s</w:t>
      </w:r>
      <w:r w:rsidR="00C1452B" w:rsidRPr="00DB716B">
        <w:t xml:space="preserve"> </w:t>
      </w:r>
    </w:p>
    <w:p w14:paraId="2DFE8624" w14:textId="77777777" w:rsidR="00C1452B" w:rsidRPr="00961E56" w:rsidRDefault="00C1452B" w:rsidP="00C1452B">
      <w:pPr>
        <w:ind w:left="360"/>
        <w:jc w:val="both"/>
      </w:pPr>
    </w:p>
    <w:p w14:paraId="50AE573F" w14:textId="77777777" w:rsidR="00854ABE" w:rsidRPr="00854ABE" w:rsidRDefault="00854ABE" w:rsidP="00854ABE">
      <w:pPr>
        <w:numPr>
          <w:ilvl w:val="1"/>
          <w:numId w:val="1"/>
        </w:numPr>
      </w:pPr>
      <w:r w:rsidRPr="00854ABE">
        <w:t>Development of synthetic strategies in close collaboration with the client</w:t>
      </w:r>
    </w:p>
    <w:p w14:paraId="4B55F77C" w14:textId="77777777" w:rsidR="00854ABE" w:rsidRDefault="00854ABE" w:rsidP="00854ABE">
      <w:pPr>
        <w:numPr>
          <w:ilvl w:val="1"/>
          <w:numId w:val="1"/>
        </w:numPr>
      </w:pPr>
      <w:r w:rsidRPr="00854ABE">
        <w:t>Support in drafting chemistry sections for grant applications</w:t>
      </w:r>
    </w:p>
    <w:p w14:paraId="4802BC4C" w14:textId="77777777" w:rsidR="00961E56" w:rsidRPr="00854ABE" w:rsidRDefault="00961E56" w:rsidP="00961E56">
      <w:pPr>
        <w:ind w:left="1440"/>
      </w:pPr>
    </w:p>
    <w:p w14:paraId="3C042398" w14:textId="77777777" w:rsidR="00854ABE" w:rsidRDefault="00854ABE" w:rsidP="00854ABE">
      <w:pPr>
        <w:numPr>
          <w:ilvl w:val="0"/>
          <w:numId w:val="1"/>
        </w:numPr>
        <w:rPr>
          <w:b/>
          <w:bCs/>
        </w:rPr>
      </w:pPr>
      <w:r w:rsidRPr="00D922F1">
        <w:rPr>
          <w:b/>
          <w:bCs/>
        </w:rPr>
        <w:t>Compound Purification</w:t>
      </w:r>
    </w:p>
    <w:p w14:paraId="3B6EA475" w14:textId="44572551" w:rsidR="00217991" w:rsidRDefault="00217991" w:rsidP="00FD7138">
      <w:pPr>
        <w:ind w:left="360"/>
        <w:jc w:val="both"/>
      </w:pPr>
      <w:r>
        <w:t xml:space="preserve">Our laboratory can utilize the whole repertoire of purification techniques to deliver high purity compounds. We are equipped with state-of-the-art Waters HPLC/UPLC platforms to ensure excellent results and </w:t>
      </w:r>
      <w:r w:rsidR="00FD7138">
        <w:t>high throughput</w:t>
      </w:r>
      <w:r>
        <w:t>.</w:t>
      </w:r>
    </w:p>
    <w:p w14:paraId="45221998" w14:textId="77777777" w:rsidR="00FD7138" w:rsidRPr="00217991" w:rsidRDefault="00FD7138" w:rsidP="00FD7138">
      <w:pPr>
        <w:ind w:left="360"/>
        <w:jc w:val="both"/>
      </w:pPr>
    </w:p>
    <w:p w14:paraId="05D64601" w14:textId="6EB7A388" w:rsidR="00854ABE" w:rsidRPr="00854ABE" w:rsidRDefault="00854ABE" w:rsidP="00854ABE">
      <w:pPr>
        <w:numPr>
          <w:ilvl w:val="1"/>
          <w:numId w:val="1"/>
        </w:numPr>
      </w:pPr>
      <w:r w:rsidRPr="00854ABE">
        <w:t>LC (silica, alumina, reversed phase, ion exchange etc.)</w:t>
      </w:r>
    </w:p>
    <w:p w14:paraId="0848484B" w14:textId="18A6721F" w:rsidR="00854ABE" w:rsidRPr="00854ABE" w:rsidRDefault="00854ABE" w:rsidP="00854ABE">
      <w:pPr>
        <w:numPr>
          <w:ilvl w:val="1"/>
          <w:numId w:val="1"/>
        </w:numPr>
      </w:pPr>
      <w:r w:rsidRPr="00854ABE">
        <w:t>HPLC (reverse phase, chiral columns etc.)</w:t>
      </w:r>
    </w:p>
    <w:p w14:paraId="580A1400" w14:textId="77777777" w:rsidR="00854ABE" w:rsidRDefault="00854ABE" w:rsidP="00854ABE">
      <w:pPr>
        <w:numPr>
          <w:ilvl w:val="1"/>
          <w:numId w:val="1"/>
        </w:numPr>
      </w:pPr>
      <w:r w:rsidRPr="00854ABE">
        <w:t>Vacuum distillation, recrystallization etc.</w:t>
      </w:r>
    </w:p>
    <w:p w14:paraId="5C68AE78" w14:textId="77777777" w:rsidR="00FD7138" w:rsidRDefault="00FD7138" w:rsidP="00FD7138">
      <w:pPr>
        <w:ind w:left="1440"/>
      </w:pPr>
    </w:p>
    <w:p w14:paraId="3CE69210" w14:textId="77777777" w:rsidR="00BF03C5" w:rsidRPr="00854ABE" w:rsidRDefault="00BF03C5" w:rsidP="00FD7138">
      <w:pPr>
        <w:ind w:left="1440"/>
      </w:pPr>
    </w:p>
    <w:p w14:paraId="7683B7CB" w14:textId="77777777" w:rsidR="00BF03C5" w:rsidRDefault="00854ABE" w:rsidP="00BF03C5">
      <w:pPr>
        <w:numPr>
          <w:ilvl w:val="0"/>
          <w:numId w:val="1"/>
        </w:numPr>
        <w:rPr>
          <w:b/>
          <w:bCs/>
        </w:rPr>
      </w:pPr>
      <w:r w:rsidRPr="00D922F1">
        <w:rPr>
          <w:b/>
          <w:bCs/>
        </w:rPr>
        <w:lastRenderedPageBreak/>
        <w:t>Analytical services</w:t>
      </w:r>
    </w:p>
    <w:p w14:paraId="5D67E80E" w14:textId="5FF1E9FE" w:rsidR="00BF03C5" w:rsidRPr="00BF03C5" w:rsidRDefault="00BF03C5" w:rsidP="00BF03C5">
      <w:pPr>
        <w:ind w:left="360"/>
        <w:jc w:val="both"/>
        <w:rPr>
          <w:b/>
          <w:bCs/>
        </w:rPr>
      </w:pPr>
      <w:r>
        <w:t xml:space="preserve">Our laboratory provides state-of-the-art analytical services such as HPLC and NMR analysis to ensure compound identification and determination of purity. In collaboration with the Macromolecular Therapeutics Core Facility, we offer supervised access to a recently purchased </w:t>
      </w:r>
      <w:r w:rsidRPr="00FD7138">
        <w:t>Cytiva Biacore 1K Surface Plasmon Resonance</w:t>
      </w:r>
      <w:r>
        <w:t xml:space="preserve"> instrument for the study of molecular interactions.</w:t>
      </w:r>
    </w:p>
    <w:p w14:paraId="15439997" w14:textId="77777777" w:rsidR="00BF03C5" w:rsidRPr="00D922F1" w:rsidRDefault="00BF03C5" w:rsidP="00BF03C5">
      <w:pPr>
        <w:ind w:left="720"/>
        <w:rPr>
          <w:b/>
          <w:bCs/>
        </w:rPr>
      </w:pPr>
    </w:p>
    <w:p w14:paraId="55B57C04" w14:textId="77777777" w:rsidR="00854ABE" w:rsidRPr="00854ABE" w:rsidRDefault="00854ABE" w:rsidP="00854ABE">
      <w:pPr>
        <w:numPr>
          <w:ilvl w:val="1"/>
          <w:numId w:val="1"/>
        </w:numPr>
      </w:pPr>
      <w:r w:rsidRPr="00B67DD1">
        <w:rPr>
          <w:lang w:val="pt-BR"/>
        </w:rPr>
        <w:t xml:space="preserve">NMR (1-D, 2-D; </w:t>
      </w:r>
      <w:r w:rsidRPr="00BF03C5">
        <w:rPr>
          <w:vertAlign w:val="superscript"/>
          <w:lang w:val="pt-BR"/>
        </w:rPr>
        <w:t>1</w:t>
      </w:r>
      <w:r w:rsidRPr="00B67DD1">
        <w:rPr>
          <w:lang w:val="pt-BR"/>
        </w:rPr>
        <w:t xml:space="preserve">H, </w:t>
      </w:r>
      <w:r w:rsidRPr="00BF03C5">
        <w:rPr>
          <w:vertAlign w:val="superscript"/>
          <w:lang w:val="pt-BR"/>
        </w:rPr>
        <w:t>13</w:t>
      </w:r>
      <w:r w:rsidRPr="00B67DD1">
        <w:rPr>
          <w:lang w:val="pt-BR"/>
        </w:rPr>
        <w:t xml:space="preserve">C, </w:t>
      </w:r>
      <w:r w:rsidRPr="00BF03C5">
        <w:rPr>
          <w:vertAlign w:val="superscript"/>
          <w:lang w:val="pt-BR"/>
        </w:rPr>
        <w:t>19</w:t>
      </w:r>
      <w:r w:rsidRPr="00B67DD1">
        <w:rPr>
          <w:lang w:val="pt-BR"/>
        </w:rPr>
        <w:t xml:space="preserve">F etc.) </w:t>
      </w:r>
      <w:r w:rsidRPr="00854ABE">
        <w:t>(at the Structural NMR Resource Facility)</w:t>
      </w:r>
    </w:p>
    <w:p w14:paraId="2E638271" w14:textId="41F6CB4F" w:rsidR="00854ABE" w:rsidRPr="00854ABE" w:rsidRDefault="00854ABE" w:rsidP="00854ABE">
      <w:pPr>
        <w:numPr>
          <w:ilvl w:val="1"/>
          <w:numId w:val="1"/>
        </w:numPr>
      </w:pPr>
      <w:r w:rsidRPr="00854ABE">
        <w:t>Infrared spectroscopy</w:t>
      </w:r>
    </w:p>
    <w:p w14:paraId="3A8FEC7D" w14:textId="77777777" w:rsidR="00854ABE" w:rsidRPr="00854ABE" w:rsidRDefault="00854ABE" w:rsidP="00854ABE">
      <w:pPr>
        <w:numPr>
          <w:ilvl w:val="1"/>
          <w:numId w:val="1"/>
        </w:numPr>
      </w:pPr>
      <w:r w:rsidRPr="00854ABE">
        <w:t>Mass spectrometry</w:t>
      </w:r>
    </w:p>
    <w:p w14:paraId="123C8308" w14:textId="4802098E" w:rsidR="00B67DD1" w:rsidRDefault="00854ABE" w:rsidP="00B67DD1">
      <w:pPr>
        <w:numPr>
          <w:ilvl w:val="1"/>
          <w:numId w:val="1"/>
        </w:numPr>
      </w:pPr>
      <w:r w:rsidRPr="00854ABE">
        <w:t>LC-MS</w:t>
      </w:r>
      <w:r w:rsidR="00B67DD1">
        <w:t xml:space="preserve"> (HPLC and UPLC available)</w:t>
      </w:r>
    </w:p>
    <w:p w14:paraId="36FAA732" w14:textId="415FE7AE" w:rsidR="00FD7138" w:rsidRPr="00FD7138" w:rsidRDefault="00FD7138" w:rsidP="00FD7138">
      <w:pPr>
        <w:numPr>
          <w:ilvl w:val="1"/>
          <w:numId w:val="1"/>
        </w:numPr>
      </w:pPr>
      <w:r w:rsidRPr="00FD7138">
        <w:t>Cytiva Biacore 1K Surface Plasmon Resonance</w:t>
      </w:r>
      <w:r>
        <w:t xml:space="preserve"> (in joint with the Macromolecular Therapeutics Core Facility)</w:t>
      </w:r>
    </w:p>
    <w:p w14:paraId="34A34FD2" w14:textId="77777777" w:rsidR="00FD7138" w:rsidRPr="00854ABE" w:rsidRDefault="00FD7138" w:rsidP="00FD7138">
      <w:pPr>
        <w:ind w:left="1440"/>
      </w:pPr>
    </w:p>
    <w:p w14:paraId="72E77894" w14:textId="41E7ED45" w:rsidR="00854ABE" w:rsidRPr="00D922F1" w:rsidRDefault="00854ABE" w:rsidP="00854ABE">
      <w:pPr>
        <w:numPr>
          <w:ilvl w:val="0"/>
          <w:numId w:val="1"/>
        </w:numPr>
        <w:rPr>
          <w:b/>
          <w:bCs/>
        </w:rPr>
      </w:pPr>
      <w:r w:rsidRPr="00D922F1">
        <w:rPr>
          <w:b/>
          <w:bCs/>
        </w:rPr>
        <w:t>Data evaluation, editing</w:t>
      </w:r>
      <w:r w:rsidR="00D922F1">
        <w:rPr>
          <w:b/>
          <w:bCs/>
        </w:rPr>
        <w:t>,</w:t>
      </w:r>
      <w:r w:rsidRPr="00D922F1">
        <w:rPr>
          <w:b/>
          <w:bCs/>
        </w:rPr>
        <w:t xml:space="preserve"> and publishing support</w:t>
      </w:r>
    </w:p>
    <w:p w14:paraId="3509BD6D" w14:textId="77777777" w:rsidR="00854ABE" w:rsidRPr="00854ABE" w:rsidRDefault="00854ABE" w:rsidP="00854ABE">
      <w:pPr>
        <w:numPr>
          <w:ilvl w:val="1"/>
          <w:numId w:val="1"/>
        </w:numPr>
      </w:pPr>
      <w:r w:rsidRPr="00854ABE">
        <w:t>Detailed evaluation of experimental and analytical data</w:t>
      </w:r>
    </w:p>
    <w:p w14:paraId="51B4DB95" w14:textId="77777777" w:rsidR="00854ABE" w:rsidRPr="00854ABE" w:rsidRDefault="00854ABE" w:rsidP="00854ABE">
      <w:pPr>
        <w:numPr>
          <w:ilvl w:val="1"/>
          <w:numId w:val="1"/>
        </w:numPr>
      </w:pPr>
      <w:r w:rsidRPr="00854ABE">
        <w:t>Preparation of synthetic sections and supporting material for publications</w:t>
      </w:r>
    </w:p>
    <w:p w14:paraId="2258CCEE" w14:textId="77777777" w:rsidR="00854ABE" w:rsidRDefault="00854ABE" w:rsidP="00854ABE">
      <w:pPr>
        <w:numPr>
          <w:ilvl w:val="1"/>
          <w:numId w:val="1"/>
        </w:numPr>
      </w:pPr>
      <w:r w:rsidRPr="00854ABE">
        <w:t>Support on all chemistry related issues in the process of IP protection</w:t>
      </w:r>
    </w:p>
    <w:p w14:paraId="639063EB" w14:textId="77777777" w:rsidR="00FD7138" w:rsidRDefault="00FD7138" w:rsidP="00FD7138">
      <w:pPr>
        <w:ind w:left="1440"/>
      </w:pPr>
    </w:p>
    <w:p w14:paraId="35B17C01" w14:textId="72E2AACC" w:rsidR="00FD7138" w:rsidRPr="00C1452B" w:rsidRDefault="00D922F1" w:rsidP="00FD7138">
      <w:pPr>
        <w:numPr>
          <w:ilvl w:val="0"/>
          <w:numId w:val="1"/>
        </w:numPr>
        <w:rPr>
          <w:b/>
          <w:bCs/>
        </w:rPr>
      </w:pPr>
      <w:r w:rsidRPr="00D922F1">
        <w:rPr>
          <w:b/>
          <w:bCs/>
        </w:rPr>
        <w:t>Consulting</w:t>
      </w:r>
    </w:p>
    <w:p w14:paraId="13AD90F8" w14:textId="0D3F2B62" w:rsidR="00B67DD1" w:rsidRDefault="00B67DD1" w:rsidP="00B67DD1">
      <w:pPr>
        <w:numPr>
          <w:ilvl w:val="1"/>
          <w:numId w:val="1"/>
        </w:numPr>
      </w:pPr>
      <w:r>
        <w:t>In depth literature survey towards IP protection</w:t>
      </w:r>
    </w:p>
    <w:p w14:paraId="23B9032E" w14:textId="1AB3D1B9" w:rsidR="00B67DD1" w:rsidRPr="00854ABE" w:rsidRDefault="00B67DD1" w:rsidP="00B67DD1">
      <w:pPr>
        <w:numPr>
          <w:ilvl w:val="1"/>
          <w:numId w:val="1"/>
        </w:numPr>
      </w:pPr>
      <w:r>
        <w:t>Feasibility studies and analogue design</w:t>
      </w:r>
    </w:p>
    <w:p w14:paraId="43BA8C38" w14:textId="77777777" w:rsidR="002A75E2" w:rsidRDefault="002A75E2"/>
    <w:p w14:paraId="26DBCC22" w14:textId="24190649" w:rsidR="00FD7C21" w:rsidRDefault="00FD7C21">
      <w:pPr>
        <w:rPr>
          <w:b/>
          <w:bCs/>
        </w:rPr>
      </w:pPr>
      <w:r>
        <w:rPr>
          <w:b/>
          <w:bCs/>
        </w:rPr>
        <w:t>KEY INSTRUMENTATION</w:t>
      </w:r>
    </w:p>
    <w:p w14:paraId="41D24101" w14:textId="77777777" w:rsidR="00FD7C21" w:rsidRDefault="00FD7C21">
      <w:pPr>
        <w:rPr>
          <w:b/>
          <w:bCs/>
        </w:rPr>
      </w:pPr>
    </w:p>
    <w:p w14:paraId="2D0EC5F4" w14:textId="77777777" w:rsidR="00FD7C21" w:rsidRDefault="00FD7C21" w:rsidP="00FD7C21">
      <w:pPr>
        <w:pStyle w:val="ListParagraph"/>
        <w:numPr>
          <w:ilvl w:val="0"/>
          <w:numId w:val="2"/>
        </w:numPr>
        <w:rPr>
          <w:b/>
          <w:bCs/>
        </w:rPr>
      </w:pPr>
      <w:r w:rsidRPr="00FD7C21">
        <w:rPr>
          <w:b/>
          <w:bCs/>
        </w:rPr>
        <w:t>Waters Autopure Preparative HPLC</w:t>
      </w:r>
    </w:p>
    <w:p w14:paraId="24F3F3A7" w14:textId="56575D0B" w:rsidR="00FD7C21" w:rsidRPr="00FD7C21" w:rsidRDefault="00FD7C21" w:rsidP="00FD7C21">
      <w:pPr>
        <w:jc w:val="both"/>
      </w:pPr>
      <w:r w:rsidRPr="00FD7C21">
        <w:t>Preparative high performance liquid chromatography that enables the purification of 1–100 mg / injection. Equipped with evaporative light scattering (ELS), UV-vis, quadrupole QDa mass, photodiode array (PDA) detectors. Installs XBridge C18 and HILIC columns for broad polarity applicability, and nitrogen is supplied via Peak nitrogen generator. </w:t>
      </w:r>
    </w:p>
    <w:p w14:paraId="2BF80E17" w14:textId="77777777" w:rsidR="00FD7C21" w:rsidRPr="00FD7C21" w:rsidRDefault="00FD7C21" w:rsidP="00FD7C21">
      <w:pPr>
        <w:pStyle w:val="ListParagraph"/>
        <w:numPr>
          <w:ilvl w:val="0"/>
          <w:numId w:val="2"/>
        </w:numPr>
        <w:rPr>
          <w:b/>
          <w:bCs/>
        </w:rPr>
      </w:pPr>
      <w:r w:rsidRPr="00FD7C21">
        <w:rPr>
          <w:b/>
          <w:bCs/>
        </w:rPr>
        <w:t>Waters Acquity UPLC</w:t>
      </w:r>
    </w:p>
    <w:p w14:paraId="44979D49" w14:textId="5BC5E173" w:rsidR="00FD7C21" w:rsidRDefault="00FD7C21" w:rsidP="00FD7C21">
      <w:pPr>
        <w:jc w:val="both"/>
      </w:pPr>
      <w:r w:rsidRPr="00FD7C21">
        <w:t>New generation analytical ultra-high performance liquid chromatography for analysis of reaction mixtures, quality control, and quantification. Equipped with SQ quadrupole MS detector and photodiode array (PDA) detector for detection of both UV-absorbing and non-absorbing analytes. Installs C18 and protein C4 BEH columns for broad polarity applicability. </w:t>
      </w:r>
    </w:p>
    <w:p w14:paraId="1C943B2B" w14:textId="77777777" w:rsidR="00FD7C21" w:rsidRPr="00FD7C21" w:rsidRDefault="00FD7C21" w:rsidP="00FD7C21">
      <w:pPr>
        <w:pStyle w:val="ListParagraph"/>
        <w:numPr>
          <w:ilvl w:val="0"/>
          <w:numId w:val="2"/>
        </w:numPr>
        <w:rPr>
          <w:b/>
          <w:bCs/>
        </w:rPr>
      </w:pPr>
      <w:r w:rsidRPr="00FD7C21">
        <w:rPr>
          <w:b/>
          <w:bCs/>
        </w:rPr>
        <w:t>Shimadzu QP2020 NX GC-MS</w:t>
      </w:r>
    </w:p>
    <w:p w14:paraId="06AD0E57" w14:textId="7EF3B19A" w:rsidR="00FD7C21" w:rsidRDefault="00FD7C21" w:rsidP="00FD7C21">
      <w:pPr>
        <w:jc w:val="both"/>
      </w:pPr>
      <w:r w:rsidRPr="00FD7C21">
        <w:t>Analytical gas chromatography for accurate detection and quantification of analytes. The instrument is equipped with single quadrupole mass detector with excellent robustness.</w:t>
      </w:r>
    </w:p>
    <w:p w14:paraId="7EAC8A40" w14:textId="77777777" w:rsidR="00FD7C21" w:rsidRPr="00FD7C21" w:rsidRDefault="00FD7C21" w:rsidP="00FD7C21">
      <w:pPr>
        <w:pStyle w:val="ListParagraph"/>
        <w:numPr>
          <w:ilvl w:val="0"/>
          <w:numId w:val="2"/>
        </w:numPr>
        <w:rPr>
          <w:b/>
          <w:bCs/>
        </w:rPr>
      </w:pPr>
      <w:r w:rsidRPr="00FD7C21">
        <w:rPr>
          <w:b/>
          <w:bCs/>
        </w:rPr>
        <w:t>Teledyne CombiFlash Nextgen 300+ and RF+</w:t>
      </w:r>
    </w:p>
    <w:p w14:paraId="07F004C0" w14:textId="62A12825" w:rsidR="00FD7C21" w:rsidRDefault="00FD7C21" w:rsidP="00FD7C21">
      <w:pPr>
        <w:jc w:val="both"/>
      </w:pPr>
      <w:r w:rsidRPr="00FD7C21">
        <w:t>State-of-the-art automated flash column chromatography systems equipped with UV-Vis and ELS detectors for reproducible and fast purification of organic compounds. Teledyne products allow flow rates of 1–300 mL/min and works with a variety of RediSep pre-packed columns.</w:t>
      </w:r>
    </w:p>
    <w:p w14:paraId="607ED21E" w14:textId="77777777" w:rsidR="00FD7C21" w:rsidRPr="00FD7C21" w:rsidRDefault="00FD7C21" w:rsidP="00FD7C21">
      <w:pPr>
        <w:pStyle w:val="ListParagraph"/>
        <w:numPr>
          <w:ilvl w:val="0"/>
          <w:numId w:val="2"/>
        </w:numPr>
        <w:rPr>
          <w:b/>
          <w:bCs/>
        </w:rPr>
      </w:pPr>
      <w:r w:rsidRPr="00FD7C21">
        <w:rPr>
          <w:b/>
          <w:bCs/>
        </w:rPr>
        <w:t>Anton Paar Monowave 300 microwave reactor</w:t>
      </w:r>
    </w:p>
    <w:p w14:paraId="7C3AE815" w14:textId="7AE672FF" w:rsidR="00FD7C21" w:rsidRDefault="00FD7C21" w:rsidP="00FD7C21">
      <w:pPr>
        <w:jc w:val="both"/>
      </w:pPr>
      <w:r w:rsidRPr="00FD7C21">
        <w:t>Chemistry microwave reactor, enables homogeneous heating of small scale reactions (1–30 mL). Its 850 W magnetron can deliver up to 300 °C and 30 Bar. Ideal for transition metal-catalyzed and heterogeneous reactions. </w:t>
      </w:r>
    </w:p>
    <w:p w14:paraId="47BC94A5" w14:textId="77777777" w:rsidR="00FD7C21" w:rsidRDefault="00FD7C21" w:rsidP="00FD7C21">
      <w:pPr>
        <w:jc w:val="both"/>
      </w:pPr>
    </w:p>
    <w:p w14:paraId="016802D2" w14:textId="77777777" w:rsidR="00FD7C21" w:rsidRDefault="00FD7C21" w:rsidP="00FD7C21">
      <w:pPr>
        <w:jc w:val="both"/>
      </w:pPr>
    </w:p>
    <w:p w14:paraId="44D07352" w14:textId="77777777" w:rsidR="00FD7C21" w:rsidRDefault="00FD7C21" w:rsidP="00FD7C21">
      <w:pPr>
        <w:pStyle w:val="ListParagraph"/>
        <w:numPr>
          <w:ilvl w:val="0"/>
          <w:numId w:val="2"/>
        </w:numPr>
        <w:jc w:val="both"/>
        <w:rPr>
          <w:b/>
          <w:bCs/>
        </w:rPr>
      </w:pPr>
      <w:r w:rsidRPr="00FD7C21">
        <w:rPr>
          <w:b/>
          <w:bCs/>
        </w:rPr>
        <w:lastRenderedPageBreak/>
        <w:t>Cytiva Biacore 1K Surface Plasmon Resonance</w:t>
      </w:r>
    </w:p>
    <w:p w14:paraId="21E919B9" w14:textId="1C7CAC5A" w:rsidR="00FD7C21" w:rsidRPr="00FD7C21" w:rsidRDefault="00FD7C21" w:rsidP="00FD7C21">
      <w:pPr>
        <w:jc w:val="both"/>
      </w:pPr>
      <w:r w:rsidRPr="00FD7C21">
        <w:t xml:space="preserve">Study molecular interactions in real time (affinity and kinetics), from antibody-antigen to protein-small </w:t>
      </w:r>
      <w:r w:rsidRPr="00FD7C21">
        <w:t>molecules</w:t>
      </w:r>
      <w:r w:rsidRPr="00FD7C21">
        <w:t>.</w:t>
      </w:r>
    </w:p>
    <w:p w14:paraId="4F75325D" w14:textId="77777777" w:rsidR="00FD7C21" w:rsidRPr="00FD7C21" w:rsidRDefault="00FD7C21" w:rsidP="00FD7C21">
      <w:pPr>
        <w:jc w:val="both"/>
        <w:rPr>
          <w:b/>
          <w:bCs/>
        </w:rPr>
      </w:pPr>
    </w:p>
    <w:sectPr w:rsidR="00FD7C21" w:rsidRPr="00FD7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55523"/>
    <w:multiLevelType w:val="multilevel"/>
    <w:tmpl w:val="E5B61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C32C0F"/>
    <w:multiLevelType w:val="hybridMultilevel"/>
    <w:tmpl w:val="3A48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707331">
    <w:abstractNumId w:val="0"/>
  </w:num>
  <w:num w:numId="2" w16cid:durableId="52208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AA"/>
    <w:rsid w:val="00046032"/>
    <w:rsid w:val="00163509"/>
    <w:rsid w:val="00217991"/>
    <w:rsid w:val="002272D0"/>
    <w:rsid w:val="002A75E2"/>
    <w:rsid w:val="003A58C3"/>
    <w:rsid w:val="00480C09"/>
    <w:rsid w:val="006A66BA"/>
    <w:rsid w:val="007B4969"/>
    <w:rsid w:val="00854ABE"/>
    <w:rsid w:val="00961E56"/>
    <w:rsid w:val="00A35F16"/>
    <w:rsid w:val="00A748A9"/>
    <w:rsid w:val="00A8250B"/>
    <w:rsid w:val="00B515AA"/>
    <w:rsid w:val="00B67DD1"/>
    <w:rsid w:val="00BF03C5"/>
    <w:rsid w:val="00C1452B"/>
    <w:rsid w:val="00D922F1"/>
    <w:rsid w:val="00E92C6C"/>
    <w:rsid w:val="00FB1DD3"/>
    <w:rsid w:val="00FD7138"/>
    <w:rsid w:val="00FD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B1AB"/>
  <w15:chartTrackingRefBased/>
  <w15:docId w15:val="{19A711BC-11D0-43A2-93DD-72FA9E44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AA"/>
  </w:style>
  <w:style w:type="paragraph" w:styleId="Heading1">
    <w:name w:val="heading 1"/>
    <w:basedOn w:val="Normal"/>
    <w:next w:val="Normal"/>
    <w:link w:val="Heading1Char"/>
    <w:uiPriority w:val="9"/>
    <w:qFormat/>
    <w:rsid w:val="00B515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FD7C2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A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515AA"/>
    <w:rPr>
      <w:color w:val="0563C1" w:themeColor="hyperlink"/>
      <w:u w:val="single"/>
    </w:rPr>
  </w:style>
  <w:style w:type="paragraph" w:styleId="ListParagraph">
    <w:name w:val="List Paragraph"/>
    <w:basedOn w:val="Normal"/>
    <w:uiPriority w:val="34"/>
    <w:qFormat/>
    <w:rsid w:val="00FD7138"/>
    <w:pPr>
      <w:ind w:left="720"/>
      <w:contextualSpacing/>
    </w:pPr>
  </w:style>
  <w:style w:type="character" w:customStyle="1" w:styleId="Heading4Char">
    <w:name w:val="Heading 4 Char"/>
    <w:basedOn w:val="DefaultParagraphFont"/>
    <w:link w:val="Heading4"/>
    <w:uiPriority w:val="9"/>
    <w:semiHidden/>
    <w:rsid w:val="00FD7C2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61495">
      <w:bodyDiv w:val="1"/>
      <w:marLeft w:val="0"/>
      <w:marRight w:val="0"/>
      <w:marTop w:val="0"/>
      <w:marBottom w:val="0"/>
      <w:divBdr>
        <w:top w:val="none" w:sz="0" w:space="0" w:color="auto"/>
        <w:left w:val="none" w:sz="0" w:space="0" w:color="auto"/>
        <w:bottom w:val="none" w:sz="0" w:space="0" w:color="auto"/>
        <w:right w:val="none" w:sz="0" w:space="0" w:color="auto"/>
      </w:divBdr>
    </w:div>
    <w:div w:id="21180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4518</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Pelowski</dc:creator>
  <cp:keywords/>
  <dc:description/>
  <cp:lastModifiedBy>Peter Bellotti</cp:lastModifiedBy>
  <cp:revision>3</cp:revision>
  <dcterms:created xsi:type="dcterms:W3CDTF">2026-04-21T14:51:00Z</dcterms:created>
  <dcterms:modified xsi:type="dcterms:W3CDTF">2026-04-21T14:55:00Z</dcterms:modified>
</cp:coreProperties>
</file>