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A8F89" w14:textId="77777777" w:rsidR="00D40FE8" w:rsidRPr="00055D56" w:rsidRDefault="00D40FE8" w:rsidP="00D40FE8">
      <w:pPr>
        <w:pStyle w:val="Heading1"/>
        <w:rPr>
          <w:b/>
        </w:rPr>
      </w:pPr>
      <w:bookmarkStart w:id="0" w:name="_Toc422721961"/>
      <w:r w:rsidRPr="00055D56">
        <w:rPr>
          <w:b/>
        </w:rPr>
        <w:t>Proteomics Shared Resource</w:t>
      </w:r>
      <w:bookmarkEnd w:id="0"/>
    </w:p>
    <w:p w14:paraId="3A516BE9" w14:textId="77777777" w:rsidR="00D40FE8" w:rsidRPr="00055D56" w:rsidRDefault="00D40FE8" w:rsidP="00D40FE8">
      <w:pPr>
        <w:rPr>
          <w:b/>
        </w:rPr>
      </w:pPr>
    </w:p>
    <w:p w14:paraId="668F6902" w14:textId="77777777" w:rsidR="000B62E9" w:rsidRDefault="000B62E9" w:rsidP="000B62E9">
      <w:r w:rsidRPr="000B62E9">
        <w:t>The Proteomics Shared Resource (Laboratory for Macromolecular Analysis and Proteomics: LMAP) provides advanced mass spectrometry technologies focused exclusively on proteomics to support the translational research mission of the Albert Einstein College of Medicine. The laboratory collaborates with investigators who use proteomics in their research programs and assists those seeking to incorporate proteomics approaches into their work.</w:t>
      </w:r>
    </w:p>
    <w:p w14:paraId="6177E565" w14:textId="77777777" w:rsidR="000B62E9" w:rsidRPr="000B62E9" w:rsidRDefault="000B62E9" w:rsidP="000B62E9"/>
    <w:p w14:paraId="26BC65F1" w14:textId="77777777" w:rsidR="000B62E9" w:rsidRPr="000B62E9" w:rsidRDefault="000B62E9" w:rsidP="000B62E9">
      <w:pPr>
        <w:rPr>
          <w:b/>
          <w:bCs/>
          <w:u w:val="single"/>
        </w:rPr>
      </w:pPr>
      <w:r w:rsidRPr="000B62E9">
        <w:rPr>
          <w:b/>
          <w:bCs/>
          <w:u w:val="single"/>
        </w:rPr>
        <w:t>Comprehensive Proteomics Services</w:t>
      </w:r>
    </w:p>
    <w:p w14:paraId="249F9DD4" w14:textId="77777777" w:rsidR="000B62E9" w:rsidRPr="000B62E9" w:rsidRDefault="000B62E9" w:rsidP="000B62E9">
      <w:r w:rsidRPr="000B62E9">
        <w:t>The Proteomics Shared Resource provides expertise in mass spectrometry-based proteomics, including experimental planning, execution, and data interpretation. Services include:</w:t>
      </w:r>
    </w:p>
    <w:p w14:paraId="1A76883D" w14:textId="6034C82A" w:rsidR="000B62E9" w:rsidRPr="000B62E9" w:rsidRDefault="000B62E9" w:rsidP="000B62E9">
      <w:pPr>
        <w:numPr>
          <w:ilvl w:val="0"/>
          <w:numId w:val="16"/>
        </w:numPr>
      </w:pPr>
      <w:r w:rsidRPr="000B62E9">
        <w:t xml:space="preserve">Analysis of total </w:t>
      </w:r>
      <w:r>
        <w:t>proteomes</w:t>
      </w:r>
    </w:p>
    <w:p w14:paraId="505544CE" w14:textId="77777777" w:rsidR="000B62E9" w:rsidRPr="000B62E9" w:rsidRDefault="000B62E9" w:rsidP="000B62E9">
      <w:pPr>
        <w:numPr>
          <w:ilvl w:val="0"/>
          <w:numId w:val="16"/>
        </w:numPr>
      </w:pPr>
      <w:r w:rsidRPr="000B62E9">
        <w:t>Large-scale analysis of protein post-translational modifications (e.g., phosphorylation, acetylation, ubiquitination)</w:t>
      </w:r>
    </w:p>
    <w:p w14:paraId="723D78F6" w14:textId="77777777" w:rsidR="000B62E9" w:rsidRPr="000B62E9" w:rsidRDefault="000B62E9" w:rsidP="000B62E9">
      <w:pPr>
        <w:numPr>
          <w:ilvl w:val="0"/>
          <w:numId w:val="16"/>
        </w:numPr>
      </w:pPr>
      <w:r w:rsidRPr="000B62E9">
        <w:t>Analysis of protein-protein interactions</w:t>
      </w:r>
    </w:p>
    <w:p w14:paraId="3B566550" w14:textId="77777777" w:rsidR="000B62E9" w:rsidRPr="000B62E9" w:rsidRDefault="000B62E9" w:rsidP="000B62E9">
      <w:pPr>
        <w:numPr>
          <w:ilvl w:val="0"/>
          <w:numId w:val="16"/>
        </w:numPr>
      </w:pPr>
      <w:r w:rsidRPr="000B62E9">
        <w:t>Analysis of protein localization</w:t>
      </w:r>
    </w:p>
    <w:p w14:paraId="7C796FEC" w14:textId="77777777" w:rsidR="000B62E9" w:rsidRPr="000B62E9" w:rsidRDefault="000B62E9" w:rsidP="000B62E9">
      <w:pPr>
        <w:numPr>
          <w:ilvl w:val="0"/>
          <w:numId w:val="16"/>
        </w:numPr>
      </w:pPr>
      <w:r w:rsidRPr="000B62E9">
        <w:t>Analysis of protein synthesis and degradation rates using metabolic labeling approaches</w:t>
      </w:r>
    </w:p>
    <w:p w14:paraId="59C7A3F9" w14:textId="6381DE41" w:rsidR="000B62E9" w:rsidRPr="000B62E9" w:rsidRDefault="000B62E9" w:rsidP="000B62E9">
      <w:pPr>
        <w:numPr>
          <w:ilvl w:val="0"/>
          <w:numId w:val="16"/>
        </w:numPr>
      </w:pPr>
      <w:r w:rsidRPr="000B62E9">
        <w:t>Analysis of single-cell proteomes</w:t>
      </w:r>
      <w:r>
        <w:t xml:space="preserve"> (NEW SERVICE)</w:t>
      </w:r>
    </w:p>
    <w:p w14:paraId="5AEA6F62" w14:textId="77777777" w:rsidR="000B62E9" w:rsidRPr="000B62E9" w:rsidRDefault="000B62E9" w:rsidP="000B62E9">
      <w:pPr>
        <w:numPr>
          <w:ilvl w:val="0"/>
          <w:numId w:val="16"/>
        </w:numPr>
      </w:pPr>
      <w:r w:rsidRPr="000B62E9">
        <w:t>Deep coverage analysis of histone post-translational modifications</w:t>
      </w:r>
    </w:p>
    <w:p w14:paraId="01C727D1" w14:textId="77777777" w:rsidR="000B62E9" w:rsidRDefault="000B62E9" w:rsidP="000B62E9"/>
    <w:p w14:paraId="6EBFD9F7" w14:textId="63EFCE38" w:rsidR="000B62E9" w:rsidRPr="000B62E9" w:rsidRDefault="000B62E9" w:rsidP="000B62E9">
      <w:pPr>
        <w:rPr>
          <w:b/>
          <w:bCs/>
          <w:u w:val="single"/>
        </w:rPr>
      </w:pPr>
      <w:r w:rsidRPr="000B62E9">
        <w:rPr>
          <w:b/>
          <w:bCs/>
          <w:u w:val="single"/>
        </w:rPr>
        <w:t>Experimental Design, Sample Preparation, Training</w:t>
      </w:r>
    </w:p>
    <w:p w14:paraId="5119D0FD" w14:textId="77777777" w:rsidR="000B62E9" w:rsidRPr="000B62E9" w:rsidRDefault="000B62E9" w:rsidP="000B62E9">
      <w:r w:rsidRPr="000B62E9">
        <w:t>The Proteomics Shared Resource provides sample preparation and handling guidance to minimize contamination, improve reproducibility, and enhance analytical depth. Established protocols and workflows are available for a variety of biological samples. The core offers consultation and training in:</w:t>
      </w:r>
    </w:p>
    <w:p w14:paraId="66736847" w14:textId="77777777" w:rsidR="000B62E9" w:rsidRPr="000B62E9" w:rsidRDefault="000B62E9" w:rsidP="000B62E9">
      <w:pPr>
        <w:numPr>
          <w:ilvl w:val="0"/>
          <w:numId w:val="17"/>
        </w:numPr>
      </w:pPr>
      <w:r w:rsidRPr="000B62E9">
        <w:t>Experimental design for proteomics studies</w:t>
      </w:r>
    </w:p>
    <w:p w14:paraId="74745AFC" w14:textId="77777777" w:rsidR="000B62E9" w:rsidRPr="000B62E9" w:rsidRDefault="000B62E9" w:rsidP="000B62E9">
      <w:pPr>
        <w:numPr>
          <w:ilvl w:val="0"/>
          <w:numId w:val="17"/>
        </w:numPr>
      </w:pPr>
      <w:r w:rsidRPr="000B62E9">
        <w:t>Selection of global or targeted proteomics strategies</w:t>
      </w:r>
    </w:p>
    <w:p w14:paraId="2ED364AB" w14:textId="77777777" w:rsidR="000B62E9" w:rsidRPr="000B62E9" w:rsidRDefault="000B62E9" w:rsidP="000B62E9">
      <w:pPr>
        <w:numPr>
          <w:ilvl w:val="0"/>
          <w:numId w:val="17"/>
        </w:numPr>
      </w:pPr>
      <w:r w:rsidRPr="000B62E9">
        <w:t>Mass spectrometry-compatible sample preparation</w:t>
      </w:r>
    </w:p>
    <w:p w14:paraId="7EC9B5FB" w14:textId="77777777" w:rsidR="000B62E9" w:rsidRPr="000B62E9" w:rsidRDefault="000B62E9" w:rsidP="000B62E9">
      <w:pPr>
        <w:numPr>
          <w:ilvl w:val="0"/>
          <w:numId w:val="17"/>
        </w:numPr>
      </w:pPr>
      <w:r w:rsidRPr="000B62E9">
        <w:t>Optimization of published methods for specific research applications</w:t>
      </w:r>
    </w:p>
    <w:p w14:paraId="1B57516D" w14:textId="77777777" w:rsidR="000B62E9" w:rsidRPr="000B62E9" w:rsidRDefault="000B62E9" w:rsidP="000B62E9">
      <w:pPr>
        <w:numPr>
          <w:ilvl w:val="0"/>
          <w:numId w:val="17"/>
        </w:numPr>
      </w:pPr>
      <w:r w:rsidRPr="000B62E9">
        <w:t>Enzymatic digestion workflows (in-solution and in-gel)</w:t>
      </w:r>
    </w:p>
    <w:p w14:paraId="7FDB8428" w14:textId="77777777" w:rsidR="000B62E9" w:rsidRPr="000B62E9" w:rsidRDefault="000B62E9" w:rsidP="000B62E9">
      <w:pPr>
        <w:numPr>
          <w:ilvl w:val="0"/>
          <w:numId w:val="17"/>
        </w:numPr>
      </w:pPr>
      <w:r w:rsidRPr="000B62E9">
        <w:t>Sample cleanup and fractionation approaches</w:t>
      </w:r>
    </w:p>
    <w:p w14:paraId="2369F043" w14:textId="77777777" w:rsidR="000B62E9" w:rsidRPr="000B62E9" w:rsidRDefault="000B62E9" w:rsidP="000B62E9">
      <w:pPr>
        <w:numPr>
          <w:ilvl w:val="0"/>
          <w:numId w:val="17"/>
        </w:numPr>
      </w:pPr>
      <w:r w:rsidRPr="000B62E9">
        <w:t>Preparation of complex biological samples, including tissues and cultured cells</w:t>
      </w:r>
    </w:p>
    <w:p w14:paraId="32330C63" w14:textId="77777777" w:rsidR="000B62E9" w:rsidRPr="000B62E9" w:rsidRDefault="000B62E9" w:rsidP="000B62E9">
      <w:pPr>
        <w:numPr>
          <w:ilvl w:val="0"/>
          <w:numId w:val="17"/>
        </w:numPr>
      </w:pPr>
      <w:r w:rsidRPr="000B62E9">
        <w:t xml:space="preserve">Enrichment strategies for modified peptides (e.g., </w:t>
      </w:r>
      <w:proofErr w:type="spellStart"/>
      <w:r w:rsidRPr="000B62E9">
        <w:t>phosphopeptides</w:t>
      </w:r>
      <w:proofErr w:type="spellEnd"/>
      <w:r w:rsidRPr="000B62E9">
        <w:t>)</w:t>
      </w:r>
    </w:p>
    <w:p w14:paraId="0B2B7823" w14:textId="77777777" w:rsidR="000B62E9" w:rsidRDefault="000B62E9" w:rsidP="000B62E9"/>
    <w:p w14:paraId="6B6F07D5" w14:textId="504F3EDD" w:rsidR="000B62E9" w:rsidRPr="000B62E9" w:rsidRDefault="000B62E9" w:rsidP="000B62E9">
      <w:pPr>
        <w:rPr>
          <w:b/>
          <w:bCs/>
          <w:u w:val="single"/>
        </w:rPr>
      </w:pPr>
      <w:r w:rsidRPr="000B62E9">
        <w:rPr>
          <w:b/>
          <w:bCs/>
          <w:u w:val="single"/>
        </w:rPr>
        <w:t>Data Analysis &amp; Reporting</w:t>
      </w:r>
    </w:p>
    <w:p w14:paraId="1D8C565D" w14:textId="77777777" w:rsidR="000B62E9" w:rsidRPr="000B62E9" w:rsidRDefault="000B62E9" w:rsidP="000B62E9">
      <w:r w:rsidRPr="000B62E9">
        <w:t>The Proteomics Shared Resource provides comprehensive support for data processing, analysis, and interpretation. Services include:</w:t>
      </w:r>
    </w:p>
    <w:p w14:paraId="2BD9FB7D" w14:textId="77777777" w:rsidR="000B62E9" w:rsidRPr="000B62E9" w:rsidRDefault="000B62E9" w:rsidP="000B62E9">
      <w:pPr>
        <w:numPr>
          <w:ilvl w:val="0"/>
          <w:numId w:val="18"/>
        </w:numPr>
      </w:pPr>
      <w:r w:rsidRPr="000B62E9">
        <w:t>Data processing and quality assessment</w:t>
      </w:r>
    </w:p>
    <w:p w14:paraId="6491ABBF" w14:textId="77777777" w:rsidR="000B62E9" w:rsidRPr="000B62E9" w:rsidRDefault="000B62E9" w:rsidP="000B62E9">
      <w:pPr>
        <w:numPr>
          <w:ilvl w:val="0"/>
          <w:numId w:val="18"/>
        </w:numPr>
      </w:pPr>
      <w:r w:rsidRPr="000B62E9">
        <w:t>Quantitative and comparative data analysis</w:t>
      </w:r>
    </w:p>
    <w:p w14:paraId="4376A736" w14:textId="77777777" w:rsidR="000B62E9" w:rsidRPr="000B62E9" w:rsidRDefault="000B62E9" w:rsidP="000B62E9">
      <w:pPr>
        <w:numPr>
          <w:ilvl w:val="0"/>
          <w:numId w:val="18"/>
        </w:numPr>
      </w:pPr>
      <w:r w:rsidRPr="000B62E9">
        <w:t>Data visualization and representation</w:t>
      </w:r>
    </w:p>
    <w:p w14:paraId="39F9A0E1" w14:textId="77777777" w:rsidR="000B62E9" w:rsidRPr="000B62E9" w:rsidRDefault="000B62E9" w:rsidP="000B62E9">
      <w:pPr>
        <w:numPr>
          <w:ilvl w:val="0"/>
          <w:numId w:val="18"/>
        </w:numPr>
      </w:pPr>
      <w:r w:rsidRPr="000B62E9">
        <w:t>Biological interpretation of proteomics results</w:t>
      </w:r>
    </w:p>
    <w:p w14:paraId="389D9E8C" w14:textId="77777777" w:rsidR="000B62E9" w:rsidRPr="000B62E9" w:rsidRDefault="000B62E9" w:rsidP="000B62E9">
      <w:pPr>
        <w:numPr>
          <w:ilvl w:val="0"/>
          <w:numId w:val="18"/>
        </w:numPr>
      </w:pPr>
      <w:r w:rsidRPr="000B62E9">
        <w:t>Collaborative analysis with investigators, including training when appropriate</w:t>
      </w:r>
    </w:p>
    <w:p w14:paraId="7229EAD5" w14:textId="77777777" w:rsidR="000B62E9" w:rsidRDefault="000B62E9" w:rsidP="000B62E9"/>
    <w:p w14:paraId="11D82D4A" w14:textId="083847DF" w:rsidR="000B62E9" w:rsidRPr="000B62E9" w:rsidRDefault="000B62E9" w:rsidP="000B62E9">
      <w:pPr>
        <w:rPr>
          <w:b/>
          <w:bCs/>
          <w:u w:val="single"/>
        </w:rPr>
      </w:pPr>
      <w:r w:rsidRPr="000B62E9">
        <w:rPr>
          <w:b/>
          <w:bCs/>
          <w:u w:val="single"/>
        </w:rPr>
        <w:t>Grant &amp; Manuscript Support</w:t>
      </w:r>
    </w:p>
    <w:p w14:paraId="2D4E2DDA" w14:textId="77777777" w:rsidR="000B62E9" w:rsidRPr="000B62E9" w:rsidRDefault="000B62E9" w:rsidP="000B62E9">
      <w:r w:rsidRPr="000B62E9">
        <w:t xml:space="preserve">The staff scientists of the proteomics core provide consultative assistance in the preparation of figures and tables to meet publication standards. Support includes analysis of proteomics data in the context of pathways and gene ontology, statistical evaluation, and preparation of materials for manuscripts and </w:t>
      </w:r>
      <w:r w:rsidRPr="000B62E9">
        <w:lastRenderedPageBreak/>
        <w:t xml:space="preserve">grant applications. Customized letters of support and example data are available. Staff also provide </w:t>
      </w:r>
      <w:proofErr w:type="gramStart"/>
      <w:r w:rsidRPr="000B62E9">
        <w:t>review</w:t>
      </w:r>
      <w:proofErr w:type="gramEnd"/>
      <w:r w:rsidRPr="000B62E9">
        <w:t xml:space="preserve"> of manuscripts and thesis chapters prior to submission.</w:t>
      </w:r>
    </w:p>
    <w:p w14:paraId="50549B0D" w14:textId="77777777" w:rsidR="000B62E9" w:rsidRDefault="000B62E9" w:rsidP="000B62E9"/>
    <w:p w14:paraId="2B41BFFD" w14:textId="4D22EFC1" w:rsidR="000B62E9" w:rsidRPr="000B62E9" w:rsidRDefault="000B62E9" w:rsidP="000B62E9">
      <w:pPr>
        <w:rPr>
          <w:b/>
          <w:bCs/>
          <w:u w:val="single"/>
        </w:rPr>
      </w:pPr>
      <w:r w:rsidRPr="000B62E9">
        <w:rPr>
          <w:b/>
          <w:bCs/>
          <w:u w:val="single"/>
        </w:rPr>
        <w:t>Key Instruments</w:t>
      </w:r>
    </w:p>
    <w:p w14:paraId="4FD0AF02" w14:textId="183A45D1" w:rsidR="000B62E9" w:rsidRPr="000B62E9" w:rsidRDefault="000B62E9" w:rsidP="000B62E9">
      <w:r w:rsidRPr="000B62E9">
        <w:t xml:space="preserve">The Proteomics Shared Resource </w:t>
      </w:r>
      <w:r>
        <w:t>is equipped with state-of-the-art mass spectrometers coupled online with nano liquid chromatography for high sensitivity. Specific instruments include</w:t>
      </w:r>
      <w:r w:rsidRPr="000B62E9">
        <w:t>:</w:t>
      </w:r>
    </w:p>
    <w:p w14:paraId="13D6CC00" w14:textId="437C46CE" w:rsidR="000B62E9" w:rsidRPr="000B62E9" w:rsidRDefault="000B62E9" w:rsidP="000B62E9">
      <w:pPr>
        <w:numPr>
          <w:ilvl w:val="0"/>
          <w:numId w:val="18"/>
        </w:numPr>
      </w:pPr>
      <w:proofErr w:type="spellStart"/>
      <w:r>
        <w:t>Thermo</w:t>
      </w:r>
      <w:proofErr w:type="spellEnd"/>
      <w:r>
        <w:t xml:space="preserve"> Scientific Orbitrap Fusion Lumos (with ETD)</w:t>
      </w:r>
    </w:p>
    <w:p w14:paraId="325CE189" w14:textId="256E7C6C" w:rsidR="000B62E9" w:rsidRPr="000B62E9" w:rsidRDefault="000B62E9" w:rsidP="000B62E9">
      <w:pPr>
        <w:numPr>
          <w:ilvl w:val="0"/>
          <w:numId w:val="18"/>
        </w:numPr>
      </w:pPr>
      <w:proofErr w:type="spellStart"/>
      <w:r>
        <w:t>Thermo</w:t>
      </w:r>
      <w:proofErr w:type="spellEnd"/>
      <w:r>
        <w:t xml:space="preserve"> Scientific Orbitrap </w:t>
      </w:r>
      <w:proofErr w:type="spellStart"/>
      <w:r>
        <w:t>Exploris</w:t>
      </w:r>
      <w:proofErr w:type="spellEnd"/>
      <w:r>
        <w:t xml:space="preserve"> 480 with FAIMS (dedicated to single cell work)</w:t>
      </w:r>
    </w:p>
    <w:p w14:paraId="028033BF" w14:textId="79F26009" w:rsidR="000B62E9" w:rsidRDefault="000B62E9" w:rsidP="000B62E9">
      <w:pPr>
        <w:numPr>
          <w:ilvl w:val="0"/>
          <w:numId w:val="18"/>
        </w:numPr>
      </w:pPr>
      <w:r>
        <w:t xml:space="preserve">Bruker </w:t>
      </w:r>
      <w:proofErr w:type="spellStart"/>
      <w:r>
        <w:t>timsTOF</w:t>
      </w:r>
      <w:proofErr w:type="spellEnd"/>
      <w:r>
        <w:t xml:space="preserve"> HT</w:t>
      </w:r>
    </w:p>
    <w:p w14:paraId="625975E0" w14:textId="77777777" w:rsidR="000B62E9" w:rsidRDefault="000B62E9" w:rsidP="000B62E9"/>
    <w:p w14:paraId="41B2073B" w14:textId="77777777" w:rsidR="000B62E9" w:rsidRDefault="000B62E9" w:rsidP="00D40FE8"/>
    <w:sectPr w:rsidR="000B62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193F"/>
    <w:multiLevelType w:val="hybridMultilevel"/>
    <w:tmpl w:val="80BC2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E2CD8"/>
    <w:multiLevelType w:val="hybridMultilevel"/>
    <w:tmpl w:val="0CD47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2C0D20"/>
    <w:multiLevelType w:val="hybridMultilevel"/>
    <w:tmpl w:val="6C4E5B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1852DA0"/>
    <w:multiLevelType w:val="multilevel"/>
    <w:tmpl w:val="319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F62ADD"/>
    <w:multiLevelType w:val="hybridMultilevel"/>
    <w:tmpl w:val="4A423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90571DE"/>
    <w:multiLevelType w:val="hybridMultilevel"/>
    <w:tmpl w:val="21AAE6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3659B8"/>
    <w:multiLevelType w:val="multilevel"/>
    <w:tmpl w:val="6A38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8E678C"/>
    <w:multiLevelType w:val="hybridMultilevel"/>
    <w:tmpl w:val="758E6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F52857"/>
    <w:multiLevelType w:val="hybridMultilevel"/>
    <w:tmpl w:val="898E7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7C139E"/>
    <w:multiLevelType w:val="hybridMultilevel"/>
    <w:tmpl w:val="9A4CCB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A7C3C78"/>
    <w:multiLevelType w:val="hybridMultilevel"/>
    <w:tmpl w:val="126613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1324393"/>
    <w:multiLevelType w:val="hybridMultilevel"/>
    <w:tmpl w:val="60680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8A4BF0"/>
    <w:multiLevelType w:val="hybridMultilevel"/>
    <w:tmpl w:val="FC9C8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4D0B63"/>
    <w:multiLevelType w:val="hybridMultilevel"/>
    <w:tmpl w:val="170EC0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6930FFD"/>
    <w:multiLevelType w:val="multilevel"/>
    <w:tmpl w:val="21EE0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787FF8"/>
    <w:multiLevelType w:val="hybridMultilevel"/>
    <w:tmpl w:val="3DAAE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60667F"/>
    <w:multiLevelType w:val="hybridMultilevel"/>
    <w:tmpl w:val="A7502E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E70D02"/>
    <w:multiLevelType w:val="hybridMultilevel"/>
    <w:tmpl w:val="95A2E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1613966">
    <w:abstractNumId w:val="9"/>
  </w:num>
  <w:num w:numId="2" w16cid:durableId="527330955">
    <w:abstractNumId w:val="1"/>
  </w:num>
  <w:num w:numId="3" w16cid:durableId="2047095014">
    <w:abstractNumId w:val="0"/>
  </w:num>
  <w:num w:numId="4" w16cid:durableId="31467645">
    <w:abstractNumId w:val="8"/>
  </w:num>
  <w:num w:numId="5" w16cid:durableId="667365302">
    <w:abstractNumId w:val="7"/>
  </w:num>
  <w:num w:numId="6" w16cid:durableId="1988241654">
    <w:abstractNumId w:val="12"/>
  </w:num>
  <w:num w:numId="7" w16cid:durableId="867985155">
    <w:abstractNumId w:val="5"/>
  </w:num>
  <w:num w:numId="8" w16cid:durableId="2124376046">
    <w:abstractNumId w:val="17"/>
  </w:num>
  <w:num w:numId="9" w16cid:durableId="871528232">
    <w:abstractNumId w:val="11"/>
  </w:num>
  <w:num w:numId="10" w16cid:durableId="917978100">
    <w:abstractNumId w:val="4"/>
  </w:num>
  <w:num w:numId="11" w16cid:durableId="1226988152">
    <w:abstractNumId w:val="10"/>
  </w:num>
  <w:num w:numId="12" w16cid:durableId="1751465378">
    <w:abstractNumId w:val="15"/>
  </w:num>
  <w:num w:numId="13" w16cid:durableId="1886791011">
    <w:abstractNumId w:val="13"/>
  </w:num>
  <w:num w:numId="14" w16cid:durableId="1957326513">
    <w:abstractNumId w:val="16"/>
  </w:num>
  <w:num w:numId="15" w16cid:durableId="1428430856">
    <w:abstractNumId w:val="2"/>
  </w:num>
  <w:num w:numId="16" w16cid:durableId="552427194">
    <w:abstractNumId w:val="3"/>
  </w:num>
  <w:num w:numId="17" w16cid:durableId="1373309476">
    <w:abstractNumId w:val="14"/>
  </w:num>
  <w:num w:numId="18" w16cid:durableId="12613370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FE8"/>
    <w:rsid w:val="000B62E9"/>
    <w:rsid w:val="000F6DBA"/>
    <w:rsid w:val="001874DD"/>
    <w:rsid w:val="00237DD8"/>
    <w:rsid w:val="002A75E2"/>
    <w:rsid w:val="00407525"/>
    <w:rsid w:val="00493307"/>
    <w:rsid w:val="00493DF5"/>
    <w:rsid w:val="00745252"/>
    <w:rsid w:val="00BA0BB7"/>
    <w:rsid w:val="00BE5C41"/>
    <w:rsid w:val="00D40FE8"/>
    <w:rsid w:val="00E17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F86EC"/>
  <w15:chartTrackingRefBased/>
  <w15:docId w15:val="{A007FA62-C2A0-41D3-8FF5-0EFD36699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FE8"/>
  </w:style>
  <w:style w:type="paragraph" w:styleId="Heading1">
    <w:name w:val="heading 1"/>
    <w:basedOn w:val="Normal"/>
    <w:next w:val="Normal"/>
    <w:link w:val="Heading1Char"/>
    <w:uiPriority w:val="9"/>
    <w:qFormat/>
    <w:rsid w:val="00D40FE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FE8"/>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452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252"/>
    <w:rPr>
      <w:rFonts w:ascii="Segoe UI" w:hAnsi="Segoe UI" w:cs="Segoe UI"/>
      <w:sz w:val="18"/>
      <w:szCs w:val="18"/>
    </w:rPr>
  </w:style>
  <w:style w:type="paragraph" w:styleId="ListParagraph">
    <w:name w:val="List Paragraph"/>
    <w:basedOn w:val="Normal"/>
    <w:uiPriority w:val="34"/>
    <w:qFormat/>
    <w:rsid w:val="004933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79695-E14B-4C10-B2F5-186561794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427</Words>
  <Characters>2745</Characters>
  <Application>Microsoft Office Word</Application>
  <DocSecurity>0</DocSecurity>
  <Lines>48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Pelowski</dc:creator>
  <cp:keywords/>
  <dc:description/>
  <cp:lastModifiedBy>Simone Sidoli</cp:lastModifiedBy>
  <cp:revision>3</cp:revision>
  <dcterms:created xsi:type="dcterms:W3CDTF">2026-03-24T23:42:00Z</dcterms:created>
  <dcterms:modified xsi:type="dcterms:W3CDTF">2026-03-24T23:46:00Z</dcterms:modified>
</cp:coreProperties>
</file>