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14ED" w14:textId="4765729D" w:rsidR="00787858" w:rsidRPr="00E24764" w:rsidRDefault="0088396F" w:rsidP="00787858">
      <w:pPr>
        <w:pStyle w:val="Heading1"/>
        <w:rPr>
          <w:b/>
        </w:rPr>
      </w:pPr>
      <w:r>
        <w:rPr>
          <w:b/>
        </w:rPr>
        <w:t xml:space="preserve">Cellular </w:t>
      </w:r>
      <w:r w:rsidR="00A56258">
        <w:rPr>
          <w:b/>
        </w:rPr>
        <w:t xml:space="preserve">Aging </w:t>
      </w:r>
      <w:r>
        <w:rPr>
          <w:b/>
        </w:rPr>
        <w:t xml:space="preserve">and Technology </w:t>
      </w:r>
      <w:r w:rsidR="00A56258">
        <w:rPr>
          <w:b/>
        </w:rPr>
        <w:t>Core</w:t>
      </w:r>
    </w:p>
    <w:p w14:paraId="3553949A" w14:textId="77777777" w:rsidR="00787858" w:rsidRDefault="00787858" w:rsidP="00787858"/>
    <w:p w14:paraId="36009F33" w14:textId="77777777" w:rsidR="0056489D" w:rsidRDefault="0056489D" w:rsidP="00A56258">
      <w:pPr>
        <w:jc w:val="both"/>
        <w:rPr>
          <w:b/>
          <w:bCs/>
        </w:rPr>
      </w:pPr>
      <w:r>
        <w:rPr>
          <w:b/>
          <w:bCs/>
        </w:rPr>
        <w:t>Core description</w:t>
      </w:r>
    </w:p>
    <w:p w14:paraId="482741C6" w14:textId="68F910A6" w:rsidR="00787858" w:rsidRDefault="0088396F" w:rsidP="00A56258">
      <w:pPr>
        <w:jc w:val="both"/>
      </w:pPr>
      <w:r>
        <w:t xml:space="preserve">Changes in fundamental cellular processes such as </w:t>
      </w:r>
      <w:r w:rsidRPr="0088396F">
        <w:rPr>
          <w:b/>
          <w:bCs/>
        </w:rPr>
        <w:t>proteostasis</w:t>
      </w:r>
      <w:r>
        <w:t xml:space="preserve">, </w:t>
      </w:r>
      <w:r w:rsidRPr="0088396F">
        <w:rPr>
          <w:b/>
          <w:bCs/>
        </w:rPr>
        <w:t>autophagy</w:t>
      </w:r>
      <w:r>
        <w:t xml:space="preserve"> and </w:t>
      </w:r>
      <w:r w:rsidRPr="0088396F">
        <w:rPr>
          <w:b/>
          <w:bCs/>
        </w:rPr>
        <w:t>senescence</w:t>
      </w:r>
      <w:r>
        <w:t xml:space="preserve"> have been recognized as important drivers of aging. </w:t>
      </w:r>
      <w:r w:rsidR="00A56258" w:rsidRPr="00A56258">
        <w:t xml:space="preserve">Alterations in </w:t>
      </w:r>
      <w:r>
        <w:t xml:space="preserve">these cellular pathways </w:t>
      </w:r>
      <w:r w:rsidR="00A56258" w:rsidRPr="00A56258">
        <w:t>have been described in multiple age-related disorders and are also tightly linked to additional mechanisms of aging such as molecular damage, cellular response to stress, metabolism, inflammation and stem cell functioning. Genetic interventions in invertebrates and in mammals, now support beneficial effects in life- and health-span of modulating components of the intracellular pathways responsible for proteostasis maintenance,</w:t>
      </w:r>
      <w:r>
        <w:t xml:space="preserve"> including</w:t>
      </w:r>
      <w:r w:rsidR="00A56258" w:rsidRPr="00A56258">
        <w:t xml:space="preserve"> chaperones and the proteolytic systems</w:t>
      </w:r>
      <w:r>
        <w:t>, or of eliminating senescent cells</w:t>
      </w:r>
      <w:r w:rsidR="00A56258" w:rsidRPr="00A56258">
        <w:t>. Translation of these findings into humans requires: 1) characterization of changes in proteostasis</w:t>
      </w:r>
      <w:r>
        <w:t xml:space="preserve"> and senescence</w:t>
      </w:r>
      <w:r w:rsidR="00A56258" w:rsidRPr="00A56258">
        <w:t xml:space="preserve"> in old organisms; 2) understanding the molecular mechanisms behind proteostasis loss </w:t>
      </w:r>
      <w:r>
        <w:t xml:space="preserve">and persistent senescence </w:t>
      </w:r>
      <w:r w:rsidR="00A56258" w:rsidRPr="00A56258">
        <w:t xml:space="preserve">in aging and 3) extensive testing of the effect of chemical and natural compounds on the </w:t>
      </w:r>
      <w:r>
        <w:t xml:space="preserve">autophagy </w:t>
      </w:r>
      <w:r w:rsidR="00A56258" w:rsidRPr="00A56258">
        <w:t xml:space="preserve">machinery and their future development into drugs. The </w:t>
      </w:r>
      <w:r>
        <w:t>Cellular Aging and Technology Core</w:t>
      </w:r>
      <w:r w:rsidR="00A56258" w:rsidRPr="00A56258">
        <w:t xml:space="preserve"> (</w:t>
      </w:r>
      <w:r>
        <w:t>CATC</w:t>
      </w:r>
      <w:r w:rsidR="00A56258" w:rsidRPr="00A56258">
        <w:t xml:space="preserve">) was </w:t>
      </w:r>
      <w:r>
        <w:t xml:space="preserve">originally </w:t>
      </w:r>
      <w:r w:rsidR="00A56258" w:rsidRPr="00A56258">
        <w:t xml:space="preserve">created in response to these needs of the aging research community </w:t>
      </w:r>
      <w:r>
        <w:t xml:space="preserve">interested in proteostasis </w:t>
      </w:r>
      <w:r w:rsidR="00A56258" w:rsidRPr="00A56258">
        <w:t xml:space="preserve">and, during </w:t>
      </w:r>
      <w:r>
        <w:t xml:space="preserve">the first 14 </w:t>
      </w:r>
      <w:r w:rsidR="00A56258" w:rsidRPr="00A56258">
        <w:t xml:space="preserve">years in operation, has been providing reliable and highly validated services, state-of-the art methodology, expertise and cutting-edge knowledge related to proteostasis </w:t>
      </w:r>
      <w:r>
        <w:t xml:space="preserve">in Einstein and </w:t>
      </w:r>
      <w:r w:rsidR="00A56258" w:rsidRPr="00A56258">
        <w:t>worldwide.</w:t>
      </w:r>
      <w:r>
        <w:t xml:space="preserve"> In this new stage, the core has expanded capabilities to include more specialized autophagy assays and basic assays for identification of </w:t>
      </w:r>
      <w:proofErr w:type="spellStart"/>
      <w:r>
        <w:t>senencence</w:t>
      </w:r>
      <w:proofErr w:type="spellEnd"/>
      <w:r>
        <w:t>.</w:t>
      </w:r>
    </w:p>
    <w:p w14:paraId="5C266295" w14:textId="77777777" w:rsidR="00A56258" w:rsidRDefault="00A56258" w:rsidP="00787858"/>
    <w:p w14:paraId="78239033" w14:textId="5E447645" w:rsidR="0056489D" w:rsidRPr="0056489D" w:rsidRDefault="0056489D" w:rsidP="00787858">
      <w:pPr>
        <w:rPr>
          <w:b/>
          <w:bCs/>
        </w:rPr>
      </w:pPr>
      <w:r w:rsidRPr="0056489D">
        <w:rPr>
          <w:b/>
          <w:bCs/>
        </w:rPr>
        <w:t>Key personnel and contact information</w:t>
      </w:r>
    </w:p>
    <w:p w14:paraId="040660AC" w14:textId="77777777" w:rsidR="0056489D" w:rsidRDefault="0056489D" w:rsidP="00787858"/>
    <w:p w14:paraId="1568A6A7" w14:textId="06E6622A" w:rsidR="00801709" w:rsidRDefault="00801709" w:rsidP="00787858">
      <w:r w:rsidRPr="00801709">
        <w:rPr>
          <w:u w:val="single"/>
        </w:rPr>
        <w:t>Consulting Faculty</w:t>
      </w:r>
      <w:r>
        <w:t xml:space="preserve">: </w:t>
      </w:r>
    </w:p>
    <w:p w14:paraId="64C35627" w14:textId="5983DF35" w:rsidR="00801709" w:rsidRDefault="00801709" w:rsidP="00787858">
      <w:r>
        <w:t xml:space="preserve">Dr. Susmita Kaushik </w:t>
      </w:r>
      <w:hyperlink r:id="rId5" w:history="1">
        <w:r w:rsidRPr="00EC71B9">
          <w:rPr>
            <w:rStyle w:val="Hyperlink"/>
          </w:rPr>
          <w:t>Susmita.Kaushik@einsteinmed.edu</w:t>
        </w:r>
      </w:hyperlink>
      <w:r>
        <w:t xml:space="preserve"> </w:t>
      </w:r>
    </w:p>
    <w:p w14:paraId="6B4B443E" w14:textId="7F83D4E4" w:rsidR="00801709" w:rsidRDefault="00801709" w:rsidP="00787858">
      <w:r>
        <w:t xml:space="preserve">Dr. Esperanza Arias-Perez </w:t>
      </w:r>
      <w:hyperlink r:id="rId6" w:history="1">
        <w:r w:rsidRPr="00EC71B9">
          <w:rPr>
            <w:rStyle w:val="Hyperlink"/>
          </w:rPr>
          <w:t>esperanza.arias-perez@einsteinmed.edu</w:t>
        </w:r>
      </w:hyperlink>
      <w:r>
        <w:t xml:space="preserve"> </w:t>
      </w:r>
    </w:p>
    <w:p w14:paraId="01BBEA98" w14:textId="77777777" w:rsidR="00801709" w:rsidRDefault="00801709" w:rsidP="00801709">
      <w:pPr>
        <w:spacing w:before="120"/>
      </w:pPr>
      <w:r w:rsidRPr="00801709">
        <w:rPr>
          <w:u w:val="single"/>
        </w:rPr>
        <w:t>Operations Manager</w:t>
      </w:r>
      <w:r>
        <w:t xml:space="preserve">:  </w:t>
      </w:r>
    </w:p>
    <w:p w14:paraId="49B50697" w14:textId="17B4464A" w:rsidR="00801709" w:rsidRDefault="00801709" w:rsidP="00787858">
      <w:r w:rsidRPr="00801709">
        <w:t xml:space="preserve">Antonio Diaz Carretero </w:t>
      </w:r>
      <w:r>
        <w:t xml:space="preserve"> </w:t>
      </w:r>
      <w:hyperlink r:id="rId7" w:history="1">
        <w:r w:rsidRPr="00EC71B9">
          <w:rPr>
            <w:rStyle w:val="Hyperlink"/>
          </w:rPr>
          <w:t>antonio.diazcarretero@einsteinmed.edu</w:t>
        </w:r>
      </w:hyperlink>
      <w:r>
        <w:t xml:space="preserve"> </w:t>
      </w:r>
    </w:p>
    <w:p w14:paraId="1EA48030" w14:textId="77777777" w:rsidR="00801709" w:rsidRPr="00801709" w:rsidRDefault="00801709" w:rsidP="00787858"/>
    <w:p w14:paraId="25132132" w14:textId="2A0F84E1" w:rsidR="00787858" w:rsidRPr="00801709" w:rsidRDefault="00787858" w:rsidP="00787858">
      <w:pPr>
        <w:rPr>
          <w:b/>
          <w:bCs/>
        </w:rPr>
      </w:pPr>
      <w:r w:rsidRPr="00801709">
        <w:rPr>
          <w:b/>
          <w:bCs/>
        </w:rPr>
        <w:t>Services provided</w:t>
      </w:r>
    </w:p>
    <w:p w14:paraId="78F0274C" w14:textId="57F6856F" w:rsidR="00A56258" w:rsidRDefault="00A56258" w:rsidP="00A56258">
      <w:pPr>
        <w:pStyle w:val="ListParagraph"/>
        <w:numPr>
          <w:ilvl w:val="0"/>
          <w:numId w:val="4"/>
        </w:numPr>
      </w:pPr>
      <w:r>
        <w:t>Assays</w:t>
      </w:r>
    </w:p>
    <w:p w14:paraId="3020994E" w14:textId="77777777" w:rsidR="00A56258" w:rsidRDefault="00A56258" w:rsidP="00A56258">
      <w:pPr>
        <w:ind w:firstLine="1170"/>
      </w:pPr>
      <w:r>
        <w:t>Autophagy profiling</w:t>
      </w:r>
    </w:p>
    <w:p w14:paraId="6DA60134" w14:textId="77777777" w:rsidR="00A56258" w:rsidRDefault="00A56258" w:rsidP="00A56258">
      <w:pPr>
        <w:ind w:firstLine="1170"/>
      </w:pPr>
      <w:r>
        <w:t>LC3-II flux</w:t>
      </w:r>
    </w:p>
    <w:p w14:paraId="67D4CC17" w14:textId="77777777" w:rsidR="00A56258" w:rsidRDefault="00A56258" w:rsidP="00A56258">
      <w:pPr>
        <w:ind w:firstLine="1170"/>
      </w:pPr>
      <w:r>
        <w:t>Electron microscopy and morphometry</w:t>
      </w:r>
    </w:p>
    <w:p w14:paraId="69A66E1D" w14:textId="07B47BF8" w:rsidR="00A56258" w:rsidRDefault="00A56258" w:rsidP="00A56258">
      <w:pPr>
        <w:ind w:firstLine="1170"/>
      </w:pPr>
      <w:r>
        <w:t>Lysosomal function</w:t>
      </w:r>
    </w:p>
    <w:p w14:paraId="30DB2D9F" w14:textId="77777777" w:rsidR="00A56258" w:rsidRDefault="00A56258" w:rsidP="00A56258">
      <w:pPr>
        <w:ind w:firstLine="1170"/>
      </w:pPr>
      <w:r>
        <w:t>Enzymes assays</w:t>
      </w:r>
    </w:p>
    <w:p w14:paraId="76436FAB" w14:textId="120999A0" w:rsidR="0088396F" w:rsidRDefault="0088396F" w:rsidP="00A56258">
      <w:pPr>
        <w:ind w:firstLine="1170"/>
      </w:pPr>
      <w:r>
        <w:t xml:space="preserve">Autophagy and Proteostasis </w:t>
      </w:r>
      <w:proofErr w:type="gramStart"/>
      <w:r>
        <w:t>Score  (</w:t>
      </w:r>
      <w:proofErr w:type="gramEnd"/>
      <w:r>
        <w:t>from RNAseq or proteomic data)</w:t>
      </w:r>
    </w:p>
    <w:p w14:paraId="50831587" w14:textId="550ACC7A" w:rsidR="0088396F" w:rsidRDefault="0088396F" w:rsidP="00A56258">
      <w:pPr>
        <w:ind w:firstLine="1170"/>
      </w:pPr>
      <w:r>
        <w:t>Senescence markers</w:t>
      </w:r>
    </w:p>
    <w:p w14:paraId="32D173FD" w14:textId="23F59236" w:rsidR="0088396F" w:rsidRDefault="0088396F" w:rsidP="0088396F">
      <w:pPr>
        <w:ind w:firstLine="1170"/>
      </w:pPr>
      <w:r>
        <w:t>Senescence</w:t>
      </w:r>
      <w:r>
        <w:t xml:space="preserve"> </w:t>
      </w:r>
      <w:proofErr w:type="gramStart"/>
      <w:r>
        <w:t>Score  (</w:t>
      </w:r>
      <w:proofErr w:type="gramEnd"/>
      <w:r>
        <w:t>from RNAseq or proteomic data)</w:t>
      </w:r>
    </w:p>
    <w:p w14:paraId="09B4D7D7" w14:textId="77777777" w:rsidR="0088396F" w:rsidRDefault="0088396F" w:rsidP="00A56258">
      <w:pPr>
        <w:ind w:firstLine="1170"/>
      </w:pPr>
    </w:p>
    <w:p w14:paraId="6371F37E" w14:textId="5434DAE2" w:rsidR="00A56258" w:rsidRDefault="00A56258" w:rsidP="00A56258">
      <w:pPr>
        <w:pStyle w:val="ListParagraph"/>
        <w:numPr>
          <w:ilvl w:val="0"/>
          <w:numId w:val="4"/>
        </w:numPr>
      </w:pPr>
      <w:r>
        <w:t>Reagents and Samples</w:t>
      </w:r>
    </w:p>
    <w:p w14:paraId="25971499" w14:textId="77777777" w:rsidR="00A56258" w:rsidRDefault="00A56258" w:rsidP="00A56258">
      <w:pPr>
        <w:ind w:firstLine="1170"/>
      </w:pPr>
      <w:r>
        <w:t>Autophagy antibody panel</w:t>
      </w:r>
    </w:p>
    <w:p w14:paraId="2FFDF3AC" w14:textId="77777777" w:rsidR="00A56258" w:rsidRDefault="00A56258" w:rsidP="00A56258">
      <w:pPr>
        <w:ind w:firstLine="1170"/>
      </w:pPr>
      <w:r>
        <w:t>Autophagy reporters</w:t>
      </w:r>
    </w:p>
    <w:p w14:paraId="3C79C8E7" w14:textId="77777777" w:rsidR="00A56258" w:rsidRDefault="00A56258" w:rsidP="00A56258">
      <w:pPr>
        <w:ind w:firstLine="1170"/>
      </w:pPr>
      <w:r>
        <w:t>Lysosomal markers</w:t>
      </w:r>
    </w:p>
    <w:p w14:paraId="03E2EBA3" w14:textId="77777777" w:rsidR="0088396F" w:rsidRDefault="0088396F" w:rsidP="00A56258">
      <w:pPr>
        <w:ind w:firstLine="1170"/>
      </w:pPr>
    </w:p>
    <w:p w14:paraId="271D2155" w14:textId="5F0E8EA9" w:rsidR="00A56258" w:rsidRDefault="00A56258" w:rsidP="00A56258">
      <w:pPr>
        <w:pStyle w:val="ListParagraph"/>
        <w:numPr>
          <w:ilvl w:val="0"/>
          <w:numId w:val="4"/>
        </w:numPr>
      </w:pPr>
      <w:r>
        <w:t>Consulting</w:t>
      </w:r>
    </w:p>
    <w:p w14:paraId="2394846F" w14:textId="6AA8BCF8" w:rsidR="00A56258" w:rsidRDefault="00A56258" w:rsidP="00A56258">
      <w:pPr>
        <w:ind w:firstLine="1170"/>
      </w:pPr>
      <w:r>
        <w:t xml:space="preserve">Autophagy </w:t>
      </w:r>
      <w:r w:rsidR="0088396F">
        <w:t xml:space="preserve">and senescence </w:t>
      </w:r>
      <w:r>
        <w:t xml:space="preserve">methods and assays </w:t>
      </w:r>
    </w:p>
    <w:p w14:paraId="001ABE39" w14:textId="262F76D0" w:rsidR="0056489D" w:rsidRDefault="0056489D" w:rsidP="00A56258">
      <w:pPr>
        <w:ind w:firstLine="1170"/>
      </w:pPr>
      <w:r>
        <w:t>Data analysis and interpretation</w:t>
      </w:r>
    </w:p>
    <w:p w14:paraId="2284B4BA" w14:textId="77777777" w:rsidR="00787858" w:rsidRDefault="00787858" w:rsidP="00787858"/>
    <w:p w14:paraId="5816164A" w14:textId="77777777" w:rsidR="00787858" w:rsidRPr="00E24764" w:rsidRDefault="00787858" w:rsidP="00787858">
      <w:r w:rsidRPr="00E24764">
        <w:t xml:space="preserve">Applications: </w:t>
      </w:r>
    </w:p>
    <w:p w14:paraId="6262031A" w14:textId="7F8F69E8" w:rsidR="00787858" w:rsidRPr="00E24764" w:rsidRDefault="00A56258" w:rsidP="00787858">
      <w:pPr>
        <w:numPr>
          <w:ilvl w:val="0"/>
          <w:numId w:val="2"/>
        </w:numPr>
      </w:pPr>
      <w:r>
        <w:t>Analysis of the proteostasis state of cultured mammalian cells</w:t>
      </w:r>
    </w:p>
    <w:p w14:paraId="651DDDB3" w14:textId="58CE5B3F" w:rsidR="00787858" w:rsidRDefault="00A56258" w:rsidP="00787858">
      <w:pPr>
        <w:numPr>
          <w:ilvl w:val="0"/>
          <w:numId w:val="2"/>
        </w:numPr>
      </w:pPr>
      <w:r>
        <w:t xml:space="preserve">Analysis of the status of autophagy in cultured mammalian cells </w:t>
      </w:r>
    </w:p>
    <w:p w14:paraId="1C2F315F" w14:textId="38AB775E" w:rsidR="0088396F" w:rsidRDefault="0088396F" w:rsidP="00787858">
      <w:pPr>
        <w:numPr>
          <w:ilvl w:val="0"/>
          <w:numId w:val="2"/>
        </w:numPr>
      </w:pPr>
      <w:r>
        <w:t xml:space="preserve">Analysis of senescence cell </w:t>
      </w:r>
      <w:r w:rsidR="0056489D">
        <w:t>abundance</w:t>
      </w:r>
    </w:p>
    <w:p w14:paraId="7950BA7E" w14:textId="50634DC7" w:rsidR="00A56258" w:rsidRDefault="0088396F" w:rsidP="00A56258">
      <w:pPr>
        <w:numPr>
          <w:ilvl w:val="0"/>
          <w:numId w:val="2"/>
        </w:numPr>
      </w:pPr>
      <w:r>
        <w:t xml:space="preserve">Small molecule screening for modulators of autophagy and for </w:t>
      </w:r>
      <w:proofErr w:type="spellStart"/>
      <w:r>
        <w:t>senolytics</w:t>
      </w:r>
      <w:proofErr w:type="spellEnd"/>
    </w:p>
    <w:sectPr w:rsidR="00A56258" w:rsidSect="0093333A">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33FA"/>
    <w:multiLevelType w:val="multilevel"/>
    <w:tmpl w:val="6D641C68"/>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20F68"/>
    <w:multiLevelType w:val="hybridMultilevel"/>
    <w:tmpl w:val="1E040A60"/>
    <w:lvl w:ilvl="0" w:tplc="4A6460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55CD3"/>
    <w:multiLevelType w:val="hybridMultilevel"/>
    <w:tmpl w:val="8452A38A"/>
    <w:lvl w:ilvl="0" w:tplc="A1B40E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9E977E8"/>
    <w:multiLevelType w:val="hybridMultilevel"/>
    <w:tmpl w:val="6F022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962425">
    <w:abstractNumId w:val="1"/>
  </w:num>
  <w:num w:numId="2" w16cid:durableId="601377925">
    <w:abstractNumId w:val="0"/>
  </w:num>
  <w:num w:numId="3" w16cid:durableId="2001351844">
    <w:abstractNumId w:val="2"/>
  </w:num>
  <w:num w:numId="4" w16cid:durableId="108364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58"/>
    <w:rsid w:val="000360C9"/>
    <w:rsid w:val="002A75E2"/>
    <w:rsid w:val="003B780A"/>
    <w:rsid w:val="0056489D"/>
    <w:rsid w:val="00664252"/>
    <w:rsid w:val="006D2930"/>
    <w:rsid w:val="00787858"/>
    <w:rsid w:val="00801709"/>
    <w:rsid w:val="0088396F"/>
    <w:rsid w:val="008E68AF"/>
    <w:rsid w:val="0093333A"/>
    <w:rsid w:val="009F5B30"/>
    <w:rsid w:val="00A56258"/>
    <w:rsid w:val="00A71030"/>
    <w:rsid w:val="00AD45B2"/>
    <w:rsid w:val="00B22715"/>
    <w:rsid w:val="00F44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0101F"/>
  <w15:docId w15:val="{2F4D0682-08BF-4D7E-B754-A5345074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58"/>
  </w:style>
  <w:style w:type="paragraph" w:styleId="Heading1">
    <w:name w:val="heading 1"/>
    <w:basedOn w:val="Normal"/>
    <w:next w:val="Normal"/>
    <w:link w:val="Heading1Char"/>
    <w:uiPriority w:val="9"/>
    <w:qFormat/>
    <w:rsid w:val="007878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85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44195"/>
    <w:rPr>
      <w:rFonts w:ascii="Lucida Grande" w:hAnsi="Lucida Grande"/>
      <w:sz w:val="18"/>
      <w:szCs w:val="18"/>
    </w:rPr>
  </w:style>
  <w:style w:type="character" w:customStyle="1" w:styleId="BalloonTextChar">
    <w:name w:val="Balloon Text Char"/>
    <w:basedOn w:val="DefaultParagraphFont"/>
    <w:link w:val="BalloonText"/>
    <w:uiPriority w:val="99"/>
    <w:semiHidden/>
    <w:rsid w:val="00F44195"/>
    <w:rPr>
      <w:rFonts w:ascii="Lucida Grande" w:hAnsi="Lucida Grande"/>
      <w:sz w:val="18"/>
      <w:szCs w:val="18"/>
    </w:rPr>
  </w:style>
  <w:style w:type="paragraph" w:styleId="ListParagraph">
    <w:name w:val="List Paragraph"/>
    <w:basedOn w:val="Normal"/>
    <w:uiPriority w:val="34"/>
    <w:qFormat/>
    <w:rsid w:val="00A56258"/>
    <w:pPr>
      <w:ind w:left="720"/>
      <w:contextualSpacing/>
    </w:pPr>
  </w:style>
  <w:style w:type="character" w:styleId="Hyperlink">
    <w:name w:val="Hyperlink"/>
    <w:basedOn w:val="DefaultParagraphFont"/>
    <w:uiPriority w:val="99"/>
    <w:unhideWhenUsed/>
    <w:rsid w:val="00801709"/>
    <w:rPr>
      <w:color w:val="0563C1" w:themeColor="hyperlink"/>
      <w:u w:val="single"/>
    </w:rPr>
  </w:style>
  <w:style w:type="character" w:styleId="UnresolvedMention">
    <w:name w:val="Unresolved Mention"/>
    <w:basedOn w:val="DefaultParagraphFont"/>
    <w:uiPriority w:val="99"/>
    <w:semiHidden/>
    <w:unhideWhenUsed/>
    <w:rsid w:val="00801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nio.diazcarretero@einstein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peranza.arias-perez@einsteinmed.edu" TargetMode="External"/><Relationship Id="rId5" Type="http://schemas.openxmlformats.org/officeDocument/2006/relationships/hyperlink" Target="mailto:Susmita.Kaushik@einsteinme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391</Words>
  <Characters>2387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Pelowski</dc:creator>
  <cp:keywords/>
  <dc:description/>
  <cp:lastModifiedBy>Ana Maria Cuervo</cp:lastModifiedBy>
  <cp:revision>4</cp:revision>
  <dcterms:created xsi:type="dcterms:W3CDTF">2026-03-24T16:35:00Z</dcterms:created>
  <dcterms:modified xsi:type="dcterms:W3CDTF">2026-03-24T16:42:00Z</dcterms:modified>
</cp:coreProperties>
</file>