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F431" w14:textId="77777777" w:rsidR="00C61E7F" w:rsidRDefault="00000000">
      <w:pPr>
        <w:spacing w:after="0" w:line="240" w:lineRule="auto"/>
        <w:jc w:val="center"/>
      </w:pPr>
      <w:r>
        <w:rPr>
          <w:b/>
          <w:color w:val="1F4E79"/>
          <w:sz w:val="36"/>
        </w:rPr>
        <w:t>In Vivo Imaging System (IVIS SpectrumCT)</w:t>
      </w:r>
    </w:p>
    <w:p w14:paraId="7F54F628" w14:textId="77777777" w:rsidR="00C61E7F" w:rsidRDefault="00000000">
      <w:pPr>
        <w:spacing w:after="120" w:line="240" w:lineRule="auto"/>
        <w:jc w:val="center"/>
      </w:pPr>
      <w:r>
        <w:rPr>
          <w:i/>
          <w:color w:val="595959"/>
          <w:sz w:val="20"/>
        </w:rPr>
        <w:t>Small-animal fluorescence, bioluminescence/luminescence, and computed tomography (CT) imaging</w:t>
      </w:r>
    </w:p>
    <w:p w14:paraId="79744E1F" w14:textId="77777777" w:rsidR="00C61E7F" w:rsidRDefault="00000000">
      <w:pPr>
        <w:spacing w:after="60" w:line="240" w:lineRule="auto"/>
      </w:pPr>
      <w:r>
        <w:t>The IVIS Core Facility provides Einstein investigators with access to the Revvity IVIS SpectrumCT in vivo imaging system, an integrated platform for noninvasive small-animal optical imaging and computed tomography (CT). The system supports longitudinal imaging of living animals or tissues expressing bioluminescent reporters, such as firefly luciferase, and far-red or near-infrared fluorescent probes.</w:t>
      </w:r>
    </w:p>
    <w:p w14:paraId="7DE5E32F" w14:textId="77777777" w:rsidR="00C61E7F" w:rsidRDefault="00000000">
      <w:pPr>
        <w:spacing w:after="100" w:line="240" w:lineRule="auto"/>
      </w:pPr>
      <w:r>
        <w:t>The CT module adds anatomical context to molecular images, enabling investigators to localize optical signal within three-dimensional anatomy and follow disease progression or therapeutic response over time in the same animal cohort. The instrument combines a sensitive cooled CCD camera with fluorescence/luminescence workflows, epi-illumination and transillumination, spectral unmixing, and microCT acquisition. The facility is housed within BSL-2 animal space to support approved small-animal imaging studies.</w:t>
      </w:r>
    </w:p>
    <w:p w14:paraId="77497FE0" w14:textId="77777777" w:rsidR="00C61E7F" w:rsidRDefault="00000000">
      <w:pPr>
        <w:spacing w:before="80" w:after="40"/>
      </w:pPr>
      <w:r>
        <w:rPr>
          <w:b/>
          <w:color w:val="1F4E79"/>
          <w:sz w:val="23"/>
        </w:rPr>
        <w:t>Services currently offered by the core</w:t>
      </w:r>
    </w:p>
    <w:p w14:paraId="59BBB3AD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Small-animal in vivo imaging within approved BSL-2 animal protocols</w:t>
      </w:r>
    </w:p>
    <w:p w14:paraId="10E8E511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Bioluminescence/luminescence imaging of luciferase-expressing cells, pathogens, tissues, and whole animals</w:t>
      </w:r>
    </w:p>
    <w:p w14:paraId="51A88242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Far-red and near-infrared fluorescence imaging of whole animals and tissues</w:t>
      </w:r>
    </w:p>
    <w:p w14:paraId="489A09F3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2D optical screening and 3D optical tomography when appropriate</w:t>
      </w:r>
    </w:p>
    <w:p w14:paraId="587C7F4D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MicroCT imaging for structural/anatomical localization</w:t>
      </w:r>
    </w:p>
    <w:p w14:paraId="3B2C8683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Optical-CT co-registration and basic image visualization/quantification support</w:t>
      </w:r>
    </w:p>
    <w:p w14:paraId="36312BC1" w14:textId="77777777" w:rsidR="00C61E7F" w:rsidRDefault="00000000">
      <w:pPr>
        <w:pStyle w:val="ListBullet"/>
        <w:spacing w:after="0" w:line="240" w:lineRule="auto"/>
        <w:ind w:left="317"/>
      </w:pPr>
      <w:r>
        <w:rPr>
          <w:sz w:val="18"/>
        </w:rPr>
        <w:t>Study-planning consultation for imaging workflows, probe selection, and longitudinal time courses</w:t>
      </w:r>
    </w:p>
    <w:tbl>
      <w:tblPr>
        <w:tblW w:w="0" w:type="auto"/>
        <w:jc w:val="center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4A0" w:firstRow="1" w:lastRow="0" w:firstColumn="1" w:lastColumn="0" w:noHBand="0" w:noVBand="1"/>
      </w:tblPr>
      <w:tblGrid>
        <w:gridCol w:w="10454"/>
      </w:tblGrid>
      <w:tr w:rsidR="00C61E7F" w14:paraId="179D1CDB" w14:textId="77777777">
        <w:trPr>
          <w:jc w:val="center"/>
        </w:trPr>
        <w:tc>
          <w:tcPr>
            <w:tcW w:w="10454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684EA0" w14:textId="77777777" w:rsidR="00C61E7F" w:rsidRDefault="00000000">
            <w:pPr>
              <w:spacing w:after="0"/>
            </w:pPr>
            <w:r>
              <w:rPr>
                <w:b/>
                <w:sz w:val="17"/>
              </w:rPr>
              <w:t xml:space="preserve">Service scope note: </w:t>
            </w:r>
            <w:r>
              <w:rPr>
                <w:sz w:val="17"/>
              </w:rPr>
              <w:t>Cerenkov/Cherenkov luminescence imaging is not currently offered by this core facility.</w:t>
            </w:r>
          </w:p>
        </w:tc>
      </w:tr>
    </w:tbl>
    <w:p w14:paraId="6560B23B" w14:textId="77777777" w:rsidR="00C61E7F" w:rsidRDefault="00000000">
      <w:pPr>
        <w:spacing w:before="100" w:after="40"/>
      </w:pPr>
      <w:r>
        <w:rPr>
          <w:b/>
          <w:color w:val="1F4E79"/>
          <w:sz w:val="23"/>
        </w:rPr>
        <w:t>Contact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5227"/>
        <w:gridCol w:w="5227"/>
      </w:tblGrid>
      <w:tr w:rsidR="00C61E7F" w14:paraId="65062F46" w14:textId="77777777">
        <w:trPr>
          <w:jc w:val="center"/>
        </w:trPr>
        <w:tc>
          <w:tcPr>
            <w:tcW w:w="52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A26490" w14:textId="77777777" w:rsidR="00C61E7F" w:rsidRDefault="00000000">
            <w:pPr>
              <w:spacing w:after="0" w:line="240" w:lineRule="auto"/>
            </w:pPr>
            <w:r>
              <w:rPr>
                <w:b/>
                <w:color w:val="1F4E79"/>
                <w:sz w:val="17"/>
              </w:rPr>
              <w:t>Core contacts</w:t>
            </w:r>
          </w:p>
        </w:tc>
        <w:tc>
          <w:tcPr>
            <w:tcW w:w="52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F8CE10" w14:textId="77777777" w:rsidR="00C61E7F" w:rsidRDefault="00000000">
            <w:pPr>
              <w:spacing w:after="0" w:line="240" w:lineRule="auto"/>
            </w:pPr>
            <w:r>
              <w:rPr>
                <w:sz w:val="17"/>
              </w:rPr>
              <w:t>Tadakimi Tomita</w:t>
            </w:r>
            <w:r>
              <w:rPr>
                <w:sz w:val="17"/>
              </w:rPr>
              <w:br/>
              <w:t>Louis M Weiss, M.D., M.P.H.</w:t>
            </w:r>
            <w:r>
              <w:rPr>
                <w:sz w:val="17"/>
              </w:rPr>
              <w:br/>
              <w:t>Departments of Pathology</w:t>
            </w:r>
          </w:p>
        </w:tc>
      </w:tr>
      <w:tr w:rsidR="00C61E7F" w14:paraId="1314AF1A" w14:textId="77777777">
        <w:trPr>
          <w:jc w:val="center"/>
        </w:trPr>
        <w:tc>
          <w:tcPr>
            <w:tcW w:w="52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508D30" w14:textId="77777777" w:rsidR="00C61E7F" w:rsidRDefault="00000000">
            <w:pPr>
              <w:spacing w:after="0" w:line="240" w:lineRule="auto"/>
            </w:pPr>
            <w:r>
              <w:rPr>
                <w:b/>
                <w:color w:val="1F4E79"/>
                <w:sz w:val="17"/>
              </w:rPr>
              <w:t>Address and communication</w:t>
            </w:r>
          </w:p>
        </w:tc>
        <w:tc>
          <w:tcPr>
            <w:tcW w:w="522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452E78" w14:textId="77777777" w:rsidR="00C61E7F" w:rsidRDefault="00000000">
            <w:pPr>
              <w:spacing w:after="0" w:line="240" w:lineRule="auto"/>
            </w:pPr>
            <w:r>
              <w:rPr>
                <w:sz w:val="17"/>
              </w:rPr>
              <w:t>Albert Einstein College of Medicine</w:t>
            </w:r>
            <w:r>
              <w:rPr>
                <w:sz w:val="17"/>
              </w:rPr>
              <w:br/>
              <w:t>1300 Morris Park Avenue, F504</w:t>
            </w:r>
            <w:r>
              <w:rPr>
                <w:sz w:val="17"/>
              </w:rPr>
              <w:br/>
              <w:t>Bronx, NY 10461</w:t>
            </w:r>
            <w:r>
              <w:rPr>
                <w:sz w:val="17"/>
              </w:rPr>
              <w:br/>
              <w:t>Office: 718-430-2143 | Fax: 718-430-8543</w:t>
            </w:r>
            <w:r>
              <w:rPr>
                <w:sz w:val="17"/>
              </w:rPr>
              <w:br/>
              <w:t>Email: Tadakimi.tomita@einsteinmed.edu</w:t>
            </w:r>
          </w:p>
        </w:tc>
      </w:tr>
    </w:tbl>
    <w:p w14:paraId="1B8E3571" w14:textId="01326124" w:rsidR="00C61E7F" w:rsidRDefault="00C61E7F"/>
    <w:p w14:paraId="04E4CD4A" w14:textId="494F45B7" w:rsidR="00C61E7F" w:rsidRDefault="00000000" w:rsidP="00711F9C">
      <w:pPr>
        <w:spacing w:after="60"/>
      </w:pPr>
      <w:r>
        <w:rPr>
          <w:b/>
          <w:color w:val="1F4E79"/>
          <w:sz w:val="29"/>
        </w:rPr>
        <w:t xml:space="preserve">Capability summary </w:t>
      </w:r>
    </w:p>
    <w:tbl>
      <w:tblPr>
        <w:tblStyle w:val="TableGrid"/>
        <w:tblW w:w="0" w:type="auto"/>
        <w:jc w:val="center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C61E7F" w14:paraId="514C65E8" w14:textId="77777777">
        <w:trPr>
          <w:jc w:val="center"/>
        </w:trPr>
        <w:tc>
          <w:tcPr>
            <w:tcW w:w="348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440F6" w14:textId="77777777" w:rsidR="00C61E7F" w:rsidRDefault="00000000">
            <w:r>
              <w:rPr>
                <w:b/>
                <w:sz w:val="16"/>
              </w:rPr>
              <w:t>Capability</w:t>
            </w:r>
          </w:p>
        </w:tc>
        <w:tc>
          <w:tcPr>
            <w:tcW w:w="348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5CF63C" w14:textId="77777777" w:rsidR="00C61E7F" w:rsidRDefault="00000000">
            <w:r>
              <w:rPr>
                <w:b/>
                <w:sz w:val="16"/>
              </w:rPr>
              <w:t>What the system enables</w:t>
            </w:r>
          </w:p>
        </w:tc>
        <w:tc>
          <w:tcPr>
            <w:tcW w:w="348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F1F9B" w14:textId="77777777" w:rsidR="00C61E7F" w:rsidRDefault="00000000">
            <w:r>
              <w:rPr>
                <w:b/>
                <w:sz w:val="16"/>
              </w:rPr>
              <w:t>Example applications</w:t>
            </w:r>
          </w:p>
        </w:tc>
      </w:tr>
      <w:tr w:rsidR="00C61E7F" w14:paraId="58433A27" w14:textId="77777777">
        <w:trPr>
          <w:jc w:val="center"/>
        </w:trPr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AEE64FF" w14:textId="77777777" w:rsidR="00C61E7F" w:rsidRDefault="00000000">
            <w:r>
              <w:rPr>
                <w:b/>
                <w:sz w:val="16"/>
              </w:rPr>
              <w:t>Bioluminescence / luminescence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6A5842C" w14:textId="77777777" w:rsidR="00C61E7F" w:rsidRDefault="00000000">
            <w:r>
              <w:rPr>
                <w:sz w:val="16"/>
              </w:rPr>
              <w:t>Sensitive low-light reporter imaging, including luciferase-based whole-animal imaging and longitudinal quantification.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6CC5770" w14:textId="77777777" w:rsidR="00C61E7F" w:rsidRDefault="00000000">
            <w:r>
              <w:rPr>
                <w:sz w:val="16"/>
              </w:rPr>
              <w:t>Tumor burden, metastasis, infectious disease, reporter gene expression, drug efficacy.</w:t>
            </w:r>
          </w:p>
        </w:tc>
      </w:tr>
      <w:tr w:rsidR="00C61E7F" w14:paraId="2F14FF62" w14:textId="77777777">
        <w:trPr>
          <w:jc w:val="center"/>
        </w:trPr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61ADB89" w14:textId="77777777" w:rsidR="00C61E7F" w:rsidRDefault="00000000">
            <w:r>
              <w:rPr>
                <w:b/>
                <w:sz w:val="16"/>
              </w:rPr>
              <w:t>Fluorescence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F64E9CA" w14:textId="77777777" w:rsidR="00C61E7F" w:rsidRDefault="00000000">
            <w:r>
              <w:rPr>
                <w:sz w:val="16"/>
              </w:rPr>
              <w:t>Far-red and NIR probe imaging with epi-illumination, transillumination, and spectral unmixing when appropriate.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D69CE1E" w14:textId="77777777" w:rsidR="00C61E7F" w:rsidRDefault="00000000">
            <w:r>
              <w:rPr>
                <w:sz w:val="16"/>
              </w:rPr>
              <w:t>Inflammation, vascular leak, targeted probes, biodistribution, multiplexed probe studies.</w:t>
            </w:r>
          </w:p>
        </w:tc>
      </w:tr>
      <w:tr w:rsidR="00C61E7F" w14:paraId="2779D0CC" w14:textId="77777777">
        <w:trPr>
          <w:jc w:val="center"/>
        </w:trPr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3962C11" w14:textId="77777777" w:rsidR="00C61E7F" w:rsidRDefault="00000000">
            <w:r>
              <w:rPr>
                <w:b/>
                <w:sz w:val="16"/>
              </w:rPr>
              <w:t>3D optical tomography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3255D5F" w14:textId="77777777" w:rsidR="00C61E7F" w:rsidRDefault="00000000">
            <w:r>
              <w:rPr>
                <w:sz w:val="16"/>
              </w:rPr>
              <w:t>Tomographic reconstruction of optical signal to improve localization and support co-registration with anatomy.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B7BCD26" w14:textId="77777777" w:rsidR="00C61E7F" w:rsidRDefault="00000000">
            <w:r>
              <w:rPr>
                <w:sz w:val="16"/>
              </w:rPr>
              <w:t>Internal tumor models, organ-localized infection/inflammation, longitudinal therapy response.</w:t>
            </w:r>
          </w:p>
        </w:tc>
      </w:tr>
      <w:tr w:rsidR="00C61E7F" w14:paraId="672A510F" w14:textId="77777777">
        <w:trPr>
          <w:jc w:val="center"/>
        </w:trPr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74BD91C" w14:textId="77777777" w:rsidR="00C61E7F" w:rsidRDefault="00000000">
            <w:r>
              <w:rPr>
                <w:b/>
                <w:sz w:val="16"/>
              </w:rPr>
              <w:t>MicroCT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3D4C717" w14:textId="77777777" w:rsidR="00C61E7F" w:rsidRDefault="00000000">
            <w:r>
              <w:rPr>
                <w:sz w:val="16"/>
              </w:rPr>
              <w:t>X-ray CT structural imaging to provide anatomical context for optical readouts and disease models.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4E66E83" w14:textId="77777777" w:rsidR="00C61E7F" w:rsidRDefault="00000000">
            <w:r>
              <w:rPr>
                <w:sz w:val="16"/>
              </w:rPr>
              <w:t>Bone and lung structure, anatomical localization, tumor or organ context, optical-CT overlays.</w:t>
            </w:r>
          </w:p>
        </w:tc>
      </w:tr>
      <w:tr w:rsidR="00C61E7F" w14:paraId="72F2BC18" w14:textId="77777777">
        <w:trPr>
          <w:jc w:val="center"/>
        </w:trPr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D749280" w14:textId="77777777" w:rsidR="00C61E7F" w:rsidRDefault="00000000">
            <w:r>
              <w:rPr>
                <w:b/>
                <w:sz w:val="16"/>
              </w:rPr>
              <w:t>Longitudinal workflow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C252179" w14:textId="77777777" w:rsidR="00C61E7F" w:rsidRDefault="00000000">
            <w:r>
              <w:rPr>
                <w:sz w:val="16"/>
              </w:rPr>
              <w:t>Repeated imaging of the same animal cohort over time to track changes while reducing inter-animal variability.</w:t>
            </w:r>
          </w:p>
        </w:tc>
        <w:tc>
          <w:tcPr>
            <w:tcW w:w="3485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7820B28" w14:textId="77777777" w:rsidR="00C61E7F" w:rsidRDefault="00000000">
            <w:r>
              <w:rPr>
                <w:sz w:val="16"/>
              </w:rPr>
              <w:t>Disease progression, pharmacodynamics, therapeutic response, survival-supporting endpoints.</w:t>
            </w:r>
          </w:p>
        </w:tc>
      </w:tr>
    </w:tbl>
    <w:p w14:paraId="3A1B7470" w14:textId="5D759BB6" w:rsidR="00C61E7F" w:rsidRDefault="00C61E7F" w:rsidP="00711F9C">
      <w:pPr>
        <w:pStyle w:val="ListBullet"/>
        <w:numPr>
          <w:ilvl w:val="0"/>
          <w:numId w:val="0"/>
        </w:numPr>
        <w:spacing w:after="0" w:line="240" w:lineRule="auto"/>
      </w:pPr>
    </w:p>
    <w:sectPr w:rsidR="00C61E7F" w:rsidSect="00034616">
      <w:headerReference w:type="default" r:id="rId8"/>
      <w:footerReference w:type="default" r:id="rId9"/>
      <w:pgSz w:w="12240" w:h="15840"/>
      <w:pgMar w:top="691" w:right="893" w:bottom="648" w:left="893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587C" w14:textId="77777777" w:rsidR="00E23C80" w:rsidRDefault="00E23C80">
      <w:pPr>
        <w:spacing w:after="0" w:line="240" w:lineRule="auto"/>
      </w:pPr>
      <w:r>
        <w:separator/>
      </w:r>
    </w:p>
  </w:endnote>
  <w:endnote w:type="continuationSeparator" w:id="0">
    <w:p w14:paraId="27F9B171" w14:textId="77777777" w:rsidR="00E23C80" w:rsidRDefault="00E2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A9B5" w14:textId="77777777" w:rsidR="00C61E7F" w:rsidRDefault="00000000">
    <w:pPr>
      <w:pStyle w:val="Footer"/>
      <w:jc w:val="center"/>
    </w:pPr>
    <w:r>
      <w:rPr>
        <w:color w:val="595959"/>
        <w:sz w:val="15"/>
      </w:rPr>
      <w:t>Albert Einstein College of Medicine - IVIS Core Facility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B578" w14:textId="77777777" w:rsidR="00E23C80" w:rsidRDefault="00E23C80">
      <w:pPr>
        <w:spacing w:after="0" w:line="240" w:lineRule="auto"/>
      </w:pPr>
      <w:r>
        <w:separator/>
      </w:r>
    </w:p>
  </w:footnote>
  <w:footnote w:type="continuationSeparator" w:id="0">
    <w:p w14:paraId="52DE505F" w14:textId="77777777" w:rsidR="00E23C80" w:rsidRDefault="00E2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51DE3" w14:textId="77777777" w:rsidR="00C61E7F" w:rsidRDefault="00000000">
    <w:pPr>
      <w:pStyle w:val="Header"/>
      <w:jc w:val="right"/>
    </w:pPr>
    <w:r>
      <w:rPr>
        <w:color w:val="595959"/>
        <w:sz w:val="15"/>
      </w:rPr>
      <w:t xml:space="preserve">Updated for IVIS </w:t>
    </w:r>
    <w:proofErr w:type="spellStart"/>
    <w:r>
      <w:rPr>
        <w:color w:val="595959"/>
        <w:sz w:val="15"/>
      </w:rPr>
      <w:t>SpectrumCT</w:t>
    </w:r>
    <w:proofErr w:type="spellEnd"/>
    <w:r>
      <w:rPr>
        <w:color w:val="595959"/>
        <w:sz w:val="15"/>
      </w:rPr>
      <w:t xml:space="preserve"> | fluorescence, luminescence, 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6497689">
    <w:abstractNumId w:val="8"/>
  </w:num>
  <w:num w:numId="2" w16cid:durableId="654377528">
    <w:abstractNumId w:val="6"/>
  </w:num>
  <w:num w:numId="3" w16cid:durableId="304314318">
    <w:abstractNumId w:val="5"/>
  </w:num>
  <w:num w:numId="4" w16cid:durableId="1575897764">
    <w:abstractNumId w:val="4"/>
  </w:num>
  <w:num w:numId="5" w16cid:durableId="1204444394">
    <w:abstractNumId w:val="7"/>
  </w:num>
  <w:num w:numId="6" w16cid:durableId="1448160658">
    <w:abstractNumId w:val="3"/>
  </w:num>
  <w:num w:numId="7" w16cid:durableId="871113349">
    <w:abstractNumId w:val="2"/>
  </w:num>
  <w:num w:numId="8" w16cid:durableId="1543439341">
    <w:abstractNumId w:val="1"/>
  </w:num>
  <w:num w:numId="9" w16cid:durableId="125130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1F9C"/>
    <w:rsid w:val="00AA1D8D"/>
    <w:rsid w:val="00B47730"/>
    <w:rsid w:val="00C57F7D"/>
    <w:rsid w:val="00C61E7F"/>
    <w:rsid w:val="00CB0664"/>
    <w:rsid w:val="00E23C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4B1F9"/>
  <w14:defaultImageDpi w14:val="300"/>
  <w15:docId w15:val="{34CD5047-3025-4D58-8044-5687D6E1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Tadakimi Tomita</cp:lastModifiedBy>
  <cp:revision>2</cp:revision>
  <dcterms:created xsi:type="dcterms:W3CDTF">2013-12-23T23:15:00Z</dcterms:created>
  <dcterms:modified xsi:type="dcterms:W3CDTF">2026-06-16T00:03:00Z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fa3a39c5-ac29-49c0-a8a6-a66386747c40</vt:lpwstr>
  </property>
</Properties>
</file>