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5C292C" w14:textId="7E809D40" w:rsidR="00593950" w:rsidRPr="00AE1811" w:rsidRDefault="00593950" w:rsidP="00593950">
      <w:pPr>
        <w:pStyle w:val="Heading1"/>
        <w:rPr>
          <w:b/>
        </w:rPr>
      </w:pPr>
      <w:bookmarkStart w:id="0" w:name="_Toc422721958"/>
      <w:r>
        <w:rPr>
          <w:b/>
        </w:rPr>
        <w:t>Molecul</w:t>
      </w:r>
      <w:r w:rsidRPr="00AE1811">
        <w:rPr>
          <w:b/>
        </w:rPr>
        <w:t>ar Cytogenetic</w:t>
      </w:r>
      <w:bookmarkEnd w:id="0"/>
      <w:r w:rsidR="00B276C9">
        <w:rPr>
          <w:b/>
        </w:rPr>
        <w:t>s Core</w:t>
      </w:r>
    </w:p>
    <w:p w14:paraId="29A45D58" w14:textId="138A89C2" w:rsidR="00593950" w:rsidRPr="00076E85" w:rsidRDefault="00593950" w:rsidP="00593950">
      <w:pPr>
        <w:spacing w:before="240"/>
        <w:rPr>
          <w:lang w:bidi="en-US"/>
        </w:rPr>
      </w:pPr>
      <w:r w:rsidRPr="00076E85">
        <w:rPr>
          <w:lang w:bidi="en-US"/>
        </w:rPr>
        <w:t>The Molecular Cytogenetic</w:t>
      </w:r>
      <w:r w:rsidR="00B276C9">
        <w:rPr>
          <w:lang w:bidi="en-US"/>
        </w:rPr>
        <w:t>s</w:t>
      </w:r>
      <w:r w:rsidRPr="00076E85">
        <w:rPr>
          <w:lang w:bidi="en-US"/>
        </w:rPr>
        <w:t xml:space="preserve"> Core (MC</w:t>
      </w:r>
      <w:r w:rsidR="00B276C9">
        <w:rPr>
          <w:lang w:bidi="en-US"/>
        </w:rPr>
        <w:t>C</w:t>
      </w:r>
      <w:r w:rsidRPr="00076E85">
        <w:rPr>
          <w:lang w:bidi="en-US"/>
        </w:rPr>
        <w:t>) provides tools for the preparation of human and murine samples suitable for molecular genetic</w:t>
      </w:r>
      <w:r w:rsidR="003F6E54">
        <w:rPr>
          <w:lang w:bidi="en-US"/>
        </w:rPr>
        <w:t>s</w:t>
      </w:r>
      <w:r w:rsidRPr="00076E85">
        <w:rPr>
          <w:lang w:bidi="en-US"/>
        </w:rPr>
        <w:t xml:space="preserve"> and cytogenetic</w:t>
      </w:r>
      <w:r w:rsidR="003F6E54">
        <w:rPr>
          <w:lang w:bidi="en-US"/>
        </w:rPr>
        <w:t>s</w:t>
      </w:r>
      <w:r w:rsidRPr="00076E85">
        <w:rPr>
          <w:lang w:bidi="en-US"/>
        </w:rPr>
        <w:t xml:space="preserve"> analysis of the entire genome. These tools include the establishment of EBV transformed cell lines; </w:t>
      </w:r>
      <w:r>
        <w:rPr>
          <w:lang w:bidi="en-US"/>
        </w:rPr>
        <w:t xml:space="preserve">enrichment of populations of cells from a variety of primary tissues (blood and other organs), </w:t>
      </w:r>
      <w:r w:rsidRPr="00076E85">
        <w:rPr>
          <w:lang w:bidi="en-US"/>
        </w:rPr>
        <w:t>isolation of DNA and mRNA from a variety of tissue culture samples as well as primary biopsies; preparation of metaphase chromosomes suitable for fluorescence in situ hybridization (FISH) and Spectral Karyotyping (SKY) or whole chromosome paints for human and mouse genome. The core personnel is trained to hybridize commercial probes and to designed locus specific probes for regions of interest to investigators. All the probes are custom designed and in house generated. The MC</w:t>
      </w:r>
      <w:r w:rsidR="003F6E54">
        <w:rPr>
          <w:lang w:bidi="en-US"/>
        </w:rPr>
        <w:t>C</w:t>
      </w:r>
      <w:r w:rsidRPr="00076E85">
        <w:rPr>
          <w:lang w:bidi="en-US"/>
        </w:rPr>
        <w:t xml:space="preserve"> is located on the 4</w:t>
      </w:r>
      <w:r w:rsidRPr="00076E85">
        <w:rPr>
          <w:vertAlign w:val="superscript"/>
          <w:lang w:bidi="en-US"/>
        </w:rPr>
        <w:t>th</w:t>
      </w:r>
      <w:r w:rsidRPr="00076E85">
        <w:rPr>
          <w:lang w:bidi="en-US"/>
        </w:rPr>
        <w:t xml:space="preserve"> floor of the Price Center Room 407 &amp; 413A, the operations director is Dr. Jidong Shan and the scientific director is </w:t>
      </w:r>
      <w:r w:rsidRPr="00612EB1">
        <w:rPr>
          <w:lang w:bidi="en-US"/>
        </w:rPr>
        <w:t xml:space="preserve">Dr. </w:t>
      </w:r>
      <w:r w:rsidR="003F6E54">
        <w:rPr>
          <w:lang w:bidi="en-US"/>
        </w:rPr>
        <w:t>Bernice Morrow</w:t>
      </w:r>
      <w:r w:rsidRPr="00076E85">
        <w:rPr>
          <w:lang w:bidi="en-US"/>
        </w:rPr>
        <w:t xml:space="preserve">. Dr. Shan has been at Einstein </w:t>
      </w:r>
      <w:r>
        <w:rPr>
          <w:lang w:bidi="en-US"/>
        </w:rPr>
        <w:t>over</w:t>
      </w:r>
      <w:r w:rsidRPr="00076E85">
        <w:rPr>
          <w:lang w:bidi="en-US"/>
        </w:rPr>
        <w:t xml:space="preserve"> years and has extensive expertise in </w:t>
      </w:r>
      <w:r w:rsidR="003F6E54">
        <w:rPr>
          <w:lang w:bidi="en-US"/>
        </w:rPr>
        <w:t>cytogenetics</w:t>
      </w:r>
      <w:r w:rsidRPr="00076E85">
        <w:rPr>
          <w:lang w:bidi="en-US"/>
        </w:rPr>
        <w:t xml:space="preserve"> and molecular biology techniques. She has long-standing expertise in the generation of EBV transformed cell lines</w:t>
      </w:r>
      <w:r>
        <w:rPr>
          <w:lang w:bidi="en-US"/>
        </w:rPr>
        <w:t xml:space="preserve"> and </w:t>
      </w:r>
      <w:r w:rsidR="003F6E54">
        <w:rPr>
          <w:lang w:bidi="en-US"/>
        </w:rPr>
        <w:t>tissue culture</w:t>
      </w:r>
      <w:r>
        <w:rPr>
          <w:lang w:bidi="en-US"/>
        </w:rPr>
        <w:t>.  U</w:t>
      </w:r>
      <w:r w:rsidRPr="00076E85">
        <w:rPr>
          <w:lang w:bidi="en-US"/>
        </w:rPr>
        <w:t xml:space="preserve">nder her supervision the average efficiency of </w:t>
      </w:r>
      <w:r>
        <w:rPr>
          <w:lang w:bidi="en-US"/>
        </w:rPr>
        <w:t xml:space="preserve">EBV </w:t>
      </w:r>
      <w:r w:rsidRPr="00076E85">
        <w:rPr>
          <w:lang w:bidi="en-US"/>
        </w:rPr>
        <w:t>transformation is constantly above 90%</w:t>
      </w:r>
      <w:r>
        <w:rPr>
          <w:lang w:bidi="en-US"/>
        </w:rPr>
        <w:t xml:space="preserve"> while enrichment of cell population is above 95% depending on the cell type</w:t>
      </w:r>
      <w:r w:rsidRPr="00076E85">
        <w:rPr>
          <w:lang w:bidi="en-US"/>
        </w:rPr>
        <w:t>. Dr. Shan had been trained for the past year to master FISH techniques under the supervision of Dr. Montagna</w:t>
      </w:r>
      <w:r w:rsidR="00273053">
        <w:rPr>
          <w:lang w:bidi="en-US"/>
        </w:rPr>
        <w:t xml:space="preserve"> (previous scientific director)</w:t>
      </w:r>
      <w:r w:rsidRPr="00076E85">
        <w:rPr>
          <w:lang w:bidi="en-US"/>
        </w:rPr>
        <w:t>. The MC</w:t>
      </w:r>
      <w:r w:rsidR="003F6E54">
        <w:rPr>
          <w:lang w:bidi="en-US"/>
        </w:rPr>
        <w:t>C</w:t>
      </w:r>
      <w:r w:rsidRPr="00076E85">
        <w:rPr>
          <w:lang w:bidi="en-US"/>
        </w:rPr>
        <w:t xml:space="preserve"> personnel include also </w:t>
      </w:r>
      <w:r w:rsidR="00064C09">
        <w:rPr>
          <w:lang w:bidi="en-US"/>
        </w:rPr>
        <w:t xml:space="preserve">Dr. </w:t>
      </w:r>
      <w:proofErr w:type="spellStart"/>
      <w:r w:rsidR="00064C09" w:rsidRPr="00076E85">
        <w:rPr>
          <w:lang w:bidi="en-US"/>
        </w:rPr>
        <w:t>Yinghui</w:t>
      </w:r>
      <w:proofErr w:type="spellEnd"/>
      <w:r w:rsidR="00064C09" w:rsidRPr="00076E85">
        <w:rPr>
          <w:lang w:bidi="en-US"/>
        </w:rPr>
        <w:t xml:space="preserve"> Song (level </w:t>
      </w:r>
      <w:r w:rsidR="00064C09">
        <w:rPr>
          <w:lang w:bidi="en-US"/>
        </w:rPr>
        <w:t>D</w:t>
      </w:r>
      <w:r w:rsidR="00064C09" w:rsidRPr="00076E85">
        <w:rPr>
          <w:lang w:bidi="en-US"/>
        </w:rPr>
        <w:t xml:space="preserve"> technician)</w:t>
      </w:r>
      <w:r w:rsidR="00064C09">
        <w:rPr>
          <w:lang w:bidi="en-US"/>
        </w:rPr>
        <w:t xml:space="preserve">, </w:t>
      </w:r>
      <w:r w:rsidR="003F6E54">
        <w:rPr>
          <w:lang w:bidi="en-US"/>
        </w:rPr>
        <w:t>Dr. Peng Zhang</w:t>
      </w:r>
      <w:r w:rsidRPr="00076E85">
        <w:rPr>
          <w:lang w:bidi="en-US"/>
        </w:rPr>
        <w:t xml:space="preserve"> (</w:t>
      </w:r>
      <w:r w:rsidR="003F6E54">
        <w:rPr>
          <w:lang w:bidi="en-US"/>
        </w:rPr>
        <w:t>postdoc</w:t>
      </w:r>
      <w:r w:rsidRPr="00076E85">
        <w:rPr>
          <w:lang w:bidi="en-US"/>
        </w:rPr>
        <w:t>)</w:t>
      </w:r>
      <w:r w:rsidR="00064C09">
        <w:rPr>
          <w:lang w:bidi="en-US"/>
        </w:rPr>
        <w:t xml:space="preserve">, Shana Nicholson (Level C technician) and Ying Zhang (Level B technician). </w:t>
      </w:r>
      <w:r w:rsidRPr="00076E85">
        <w:rPr>
          <w:lang w:bidi="en-US"/>
        </w:rPr>
        <w:t xml:space="preserve">The core’s scientific supervisor (Dr. </w:t>
      </w:r>
      <w:r w:rsidR="003F6E54">
        <w:rPr>
          <w:lang w:bidi="en-US"/>
        </w:rPr>
        <w:t>Morrow</w:t>
      </w:r>
      <w:r w:rsidRPr="00076E85">
        <w:rPr>
          <w:lang w:bidi="en-US"/>
        </w:rPr>
        <w:t xml:space="preserve">) has extensive and well-documented experience in the use of </w:t>
      </w:r>
      <w:r w:rsidR="003F6E54">
        <w:rPr>
          <w:lang w:bidi="en-US"/>
        </w:rPr>
        <w:t>molecular genetic tools</w:t>
      </w:r>
      <w:r w:rsidRPr="00076E85">
        <w:rPr>
          <w:lang w:bidi="en-US"/>
        </w:rPr>
        <w:t xml:space="preserve">. </w:t>
      </w:r>
    </w:p>
    <w:p w14:paraId="219DC313" w14:textId="14D0D9EC" w:rsidR="00593950" w:rsidRPr="00076E85" w:rsidRDefault="00593950" w:rsidP="00593950">
      <w:pPr>
        <w:spacing w:before="120"/>
      </w:pPr>
      <w:r w:rsidRPr="00076E85">
        <w:rPr>
          <w:i/>
          <w:u w:val="single"/>
        </w:rPr>
        <w:t>Services:</w:t>
      </w:r>
      <w:r w:rsidRPr="00076E85">
        <w:t xml:space="preserve">   Probes labeling and hybridizations are carried out within the MC in the Department of Genetics at The Albert Einstein College of Medicine.  The facility is located on the 4th floor of the Price Center for Genetic and Translational Medicine/ Block Research Pavilion.  Presently, the core lab occupies 300 square feet.  The facility is fully set up and has been operating for several years providing FISH services for locus specific probes, chromosome painting and SKY. SKY is a molecular cytogenetic technique that allows for differential visualization of all human or mouse chromosomes in distinct colors with a single hybridization and image exposure. SKY utilizes a combination of Fourier spectroscopy with epifluorescence microscopy and charge-coupled device (CCD)-imaging.  Human and mouse single chromosome painting probes are generated from flow-sorted chromosomes and PCR-labeled through the incorporation of five spectrally distinct fluorochromes. Hybridized chromosomes can be visualized using an epifluorescence microscope. The MC</w:t>
      </w:r>
      <w:r w:rsidR="003F6E54">
        <w:t>C</w:t>
      </w:r>
      <w:r w:rsidRPr="00076E85">
        <w:t xml:space="preserve"> also provides customized services for the hybridization and analysis of tissue microarrays. The personnel has expertise in the establishment and maintenance of primary cell lines (EBV transformed); isolation of DNA and mRNA from a variety of sources (blood, scope, spit, hair and frozen buffy coat); PBMC isolation</w:t>
      </w:r>
      <w:r>
        <w:t xml:space="preserve"> and cell population enrichment (eosinophils, B and T cells)</w:t>
      </w:r>
      <w:r w:rsidRPr="00076E85">
        <w:t xml:space="preserve"> and whole genome amplification. </w:t>
      </w:r>
      <w:r w:rsidR="00273053">
        <w:t>In the last 5 years</w:t>
      </w:r>
      <w:r w:rsidR="00064C09">
        <w:t xml:space="preserve">, the core developed some new services, such as </w:t>
      </w:r>
      <w:proofErr w:type="spellStart"/>
      <w:r w:rsidR="00064C09">
        <w:t>RNAScope</w:t>
      </w:r>
      <w:proofErr w:type="spellEnd"/>
      <w:r w:rsidR="00064C09">
        <w:t xml:space="preserve">; G4X spatial sequencing on FFPE tissue; </w:t>
      </w:r>
      <w:r w:rsidR="00273053">
        <w:t xml:space="preserve">PBMC isolation clinical trial processing site from NIH. </w:t>
      </w:r>
    </w:p>
    <w:p w14:paraId="3C517C08" w14:textId="7EFFE5D1" w:rsidR="00593950" w:rsidRPr="00AE1811" w:rsidRDefault="00593950" w:rsidP="00593950">
      <w:pPr>
        <w:pStyle w:val="BodyText"/>
        <w:spacing w:before="120"/>
        <w:rPr>
          <w:rFonts w:asciiTheme="minorHAnsi" w:hAnsiTheme="minorHAnsi"/>
          <w:sz w:val="22"/>
        </w:rPr>
      </w:pPr>
      <w:r w:rsidRPr="00AE1811">
        <w:rPr>
          <w:rFonts w:asciiTheme="minorHAnsi" w:hAnsiTheme="minorHAnsi"/>
          <w:i/>
          <w:sz w:val="22"/>
          <w:u w:val="single"/>
        </w:rPr>
        <w:t>Equipment:</w:t>
      </w:r>
      <w:r w:rsidRPr="00AE1811">
        <w:rPr>
          <w:rFonts w:asciiTheme="minorHAnsi" w:hAnsiTheme="minorHAnsi"/>
          <w:sz w:val="22"/>
        </w:rPr>
        <w:t xml:space="preserve"> </w:t>
      </w:r>
      <w:r w:rsidRPr="00AE1811">
        <w:rPr>
          <w:rFonts w:asciiTheme="minorHAnsi" w:hAnsiTheme="minorHAnsi"/>
          <w:b/>
          <w:sz w:val="22"/>
        </w:rPr>
        <w:t xml:space="preserve">  i)</w:t>
      </w:r>
      <w:r w:rsidRPr="00AE1811">
        <w:rPr>
          <w:rFonts w:asciiTheme="minorHAnsi" w:hAnsiTheme="minorHAnsi"/>
          <w:sz w:val="22"/>
        </w:rPr>
        <w:t xml:space="preserve"> A microscope for SKY images acquisition </w:t>
      </w:r>
      <w:r w:rsidR="00273053" w:rsidRPr="00AE1811">
        <w:rPr>
          <w:rFonts w:asciiTheme="minorHAnsi" w:hAnsiTheme="minorHAnsi"/>
          <w:sz w:val="22"/>
        </w:rPr>
        <w:t>is in</w:t>
      </w:r>
      <w:r w:rsidRPr="00AE1811">
        <w:rPr>
          <w:rFonts w:asciiTheme="minorHAnsi" w:hAnsiTheme="minorHAnsi"/>
          <w:sz w:val="22"/>
        </w:rPr>
        <w:t xml:space="preserve"> the AIF (Analytical Imaging Facility, a shared resource at AECOM located in the Price Center room 210). The system include an Olympus BX51 with automatic stage, 6 positions fluorescent turret with specific Chroma filter sets, DIC and equipped with a </w:t>
      </w:r>
      <w:proofErr w:type="spellStart"/>
      <w:r w:rsidRPr="00AE1811">
        <w:rPr>
          <w:rFonts w:asciiTheme="minorHAnsi" w:hAnsiTheme="minorHAnsi"/>
          <w:sz w:val="22"/>
        </w:rPr>
        <w:t>Sensicam</w:t>
      </w:r>
      <w:proofErr w:type="spellEnd"/>
      <w:r w:rsidRPr="00AE1811">
        <w:rPr>
          <w:rFonts w:asciiTheme="minorHAnsi" w:hAnsiTheme="minorHAnsi"/>
          <w:sz w:val="22"/>
        </w:rPr>
        <w:t xml:space="preserve"> CCD cooled camera. The microscope is connected to a </w:t>
      </w:r>
      <w:proofErr w:type="spellStart"/>
      <w:r w:rsidRPr="00AE1811">
        <w:rPr>
          <w:rFonts w:asciiTheme="minorHAnsi" w:hAnsiTheme="minorHAnsi"/>
          <w:sz w:val="22"/>
        </w:rPr>
        <w:t>SpectraCube</w:t>
      </w:r>
      <w:proofErr w:type="spellEnd"/>
      <w:r w:rsidRPr="00AE1811">
        <w:rPr>
          <w:rFonts w:asciiTheme="minorHAnsi" w:hAnsiTheme="minorHAnsi"/>
          <w:sz w:val="22"/>
        </w:rPr>
        <w:t xml:space="preserve"> (Applied Spectral Imaging), this technology is based on spectral imaging, which combines two existing technologies, CCD-imaging and spectrometry. CCD imaging produces a finely detailed monochrome image of an object. Spectrometry, on the other hand, measures the spectrum of selected areas on the object and then displays each spectrum as a separate graph. The </w:t>
      </w:r>
      <w:proofErr w:type="spellStart"/>
      <w:r w:rsidRPr="00AE1811">
        <w:rPr>
          <w:rFonts w:asciiTheme="minorHAnsi" w:hAnsiTheme="minorHAnsi"/>
          <w:sz w:val="22"/>
        </w:rPr>
        <w:t>SpectraCube</w:t>
      </w:r>
      <w:proofErr w:type="spellEnd"/>
      <w:r w:rsidRPr="00AE1811">
        <w:rPr>
          <w:rFonts w:asciiTheme="minorHAnsi" w:hAnsiTheme="minorHAnsi"/>
          <w:sz w:val="22"/>
        </w:rPr>
        <w:t xml:space="preserve"> system is made up of an interferometer, a </w:t>
      </w:r>
      <w:r w:rsidRPr="00AE1811">
        <w:rPr>
          <w:rFonts w:asciiTheme="minorHAnsi" w:hAnsiTheme="minorHAnsi"/>
          <w:sz w:val="22"/>
        </w:rPr>
        <w:lastRenderedPageBreak/>
        <w:t xml:space="preserve">CCD-camera, a computer, and spectral image analysis software available to all MC users. The SKY system is available to MC users upon reservation and its use is charged by the AIF at standard fee. This system is connected to a DELL computer running the full ASI acquisition and analysis package. This includes: FISH View for locus specific probes and chromosome painting analysis; </w:t>
      </w:r>
      <w:proofErr w:type="spellStart"/>
      <w:r w:rsidRPr="00AE1811">
        <w:rPr>
          <w:rFonts w:asciiTheme="minorHAnsi" w:hAnsiTheme="minorHAnsi"/>
          <w:sz w:val="22"/>
        </w:rPr>
        <w:t>BandView</w:t>
      </w:r>
      <w:proofErr w:type="spellEnd"/>
      <w:r w:rsidRPr="00AE1811">
        <w:rPr>
          <w:rFonts w:asciiTheme="minorHAnsi" w:hAnsiTheme="minorHAnsi"/>
          <w:sz w:val="22"/>
        </w:rPr>
        <w:t xml:space="preserve"> for standard cytogenetic karyotyping of inverted DAPI metaphases; SKY View for SKY analysis.    </w:t>
      </w:r>
      <w:r w:rsidRPr="00AE1811">
        <w:rPr>
          <w:rFonts w:asciiTheme="minorHAnsi" w:hAnsiTheme="minorHAnsi"/>
          <w:b/>
          <w:sz w:val="22"/>
        </w:rPr>
        <w:t>ii)</w:t>
      </w:r>
      <w:r w:rsidRPr="00AE1811">
        <w:rPr>
          <w:rFonts w:asciiTheme="minorHAnsi" w:hAnsiTheme="minorHAnsi"/>
          <w:sz w:val="22"/>
        </w:rPr>
        <w:t xml:space="preserve"> The Olympus BX51 besides being connected to the </w:t>
      </w:r>
      <w:proofErr w:type="spellStart"/>
      <w:r w:rsidRPr="00AE1811">
        <w:rPr>
          <w:rFonts w:asciiTheme="minorHAnsi" w:hAnsiTheme="minorHAnsi"/>
          <w:sz w:val="22"/>
        </w:rPr>
        <w:t>SpectraCube</w:t>
      </w:r>
      <w:proofErr w:type="spellEnd"/>
      <w:r w:rsidRPr="00AE1811">
        <w:rPr>
          <w:rFonts w:asciiTheme="minorHAnsi" w:hAnsiTheme="minorHAnsi"/>
          <w:sz w:val="22"/>
        </w:rPr>
        <w:t xml:space="preserve"> is also </w:t>
      </w:r>
      <w:r w:rsidRPr="00AE1811">
        <w:rPr>
          <w:rFonts w:asciiTheme="minorHAnsi" w:hAnsiTheme="minorHAnsi" w:cs="Arial"/>
          <w:sz w:val="22"/>
          <w:u w:color="FFFFFF"/>
        </w:rPr>
        <w:t xml:space="preserve">and equipped with a Cooke </w:t>
      </w:r>
      <w:proofErr w:type="spellStart"/>
      <w:r w:rsidRPr="00AE1811">
        <w:rPr>
          <w:rFonts w:asciiTheme="minorHAnsi" w:hAnsiTheme="minorHAnsi" w:cs="Arial"/>
          <w:sz w:val="22"/>
          <w:u w:color="FFFFFF"/>
        </w:rPr>
        <w:t>SensicamQE</w:t>
      </w:r>
      <w:proofErr w:type="spellEnd"/>
      <w:r w:rsidRPr="00AE1811">
        <w:rPr>
          <w:rFonts w:asciiTheme="minorHAnsi" w:hAnsiTheme="minorHAnsi" w:cs="Arial"/>
          <w:sz w:val="22"/>
          <w:u w:color="FFFFFF"/>
        </w:rPr>
        <w:t xml:space="preserve"> camera with </w:t>
      </w:r>
      <w:proofErr w:type="spellStart"/>
      <w:r w:rsidRPr="00AE1811">
        <w:rPr>
          <w:rFonts w:asciiTheme="minorHAnsi" w:hAnsiTheme="minorHAnsi" w:cs="Arial"/>
          <w:sz w:val="22"/>
          <w:u w:color="FFFFFF"/>
        </w:rPr>
        <w:t>IPLab</w:t>
      </w:r>
      <w:proofErr w:type="spellEnd"/>
      <w:r w:rsidRPr="00AE1811">
        <w:rPr>
          <w:rFonts w:asciiTheme="minorHAnsi" w:hAnsiTheme="minorHAnsi" w:cs="Arial"/>
          <w:sz w:val="22"/>
          <w:u w:color="FFFFFF"/>
        </w:rPr>
        <w:t xml:space="preserve"> for image acquisition. Custom made script for multifocal image acquisition for the fluorophores of interest have been generate and tested for this system; thus for our purpose this function as a semi-automatic acquisition system.</w:t>
      </w:r>
      <w:r w:rsidRPr="00AE1811">
        <w:rPr>
          <w:rFonts w:asciiTheme="minorHAnsi" w:hAnsiTheme="minorHAnsi"/>
          <w:sz w:val="22"/>
        </w:rPr>
        <w:t xml:space="preserve">   </w:t>
      </w:r>
      <w:r w:rsidRPr="00AE1811">
        <w:rPr>
          <w:rFonts w:asciiTheme="minorHAnsi" w:hAnsiTheme="minorHAnsi"/>
          <w:b/>
          <w:sz w:val="22"/>
          <w:szCs w:val="20"/>
          <w:lang w:bidi="x-none"/>
        </w:rPr>
        <w:t>iii)</w:t>
      </w:r>
      <w:r w:rsidRPr="00AE1811">
        <w:rPr>
          <w:rFonts w:asciiTheme="minorHAnsi" w:hAnsiTheme="minorHAnsi"/>
          <w:sz w:val="22"/>
          <w:szCs w:val="20"/>
          <w:lang w:bidi="x-none"/>
        </w:rPr>
        <w:t xml:space="preserve">  The acquisition system has been recently fully upgraded with a </w:t>
      </w:r>
      <w:proofErr w:type="spellStart"/>
      <w:r w:rsidRPr="00AE1811">
        <w:rPr>
          <w:rFonts w:asciiTheme="minorHAnsi" w:hAnsiTheme="minorHAnsi"/>
          <w:sz w:val="22"/>
          <w:szCs w:val="20"/>
          <w:lang w:bidi="x-none"/>
        </w:rPr>
        <w:t>SpotView</w:t>
      </w:r>
      <w:proofErr w:type="spellEnd"/>
      <w:r w:rsidRPr="00AE1811">
        <w:rPr>
          <w:rFonts w:asciiTheme="minorHAnsi" w:hAnsiTheme="minorHAnsi"/>
          <w:sz w:val="22"/>
          <w:szCs w:val="20"/>
          <w:lang w:bidi="x-none"/>
        </w:rPr>
        <w:t xml:space="preserve"> C counting software for semi-automatic analysis of locus specific probes counting.   </w:t>
      </w:r>
      <w:r w:rsidRPr="00AE1811">
        <w:rPr>
          <w:rFonts w:asciiTheme="minorHAnsi" w:hAnsiTheme="minorHAnsi"/>
          <w:b/>
          <w:sz w:val="22"/>
          <w:szCs w:val="20"/>
          <w:lang w:bidi="x-none"/>
        </w:rPr>
        <w:t>iv)</w:t>
      </w:r>
      <w:r w:rsidRPr="00AE1811">
        <w:rPr>
          <w:rFonts w:asciiTheme="minorHAnsi" w:hAnsiTheme="minorHAnsi"/>
          <w:sz w:val="22"/>
          <w:szCs w:val="20"/>
          <w:lang w:bidi="x-none"/>
        </w:rPr>
        <w:t xml:space="preserve">  Metaphases for all experiments are prepared with the CDS-5 Cytogenetic Drying</w:t>
      </w:r>
      <w:r w:rsidRPr="00AE1811">
        <w:rPr>
          <w:rFonts w:asciiTheme="minorHAnsi" w:hAnsiTheme="minorHAnsi"/>
          <w:sz w:val="22"/>
        </w:rPr>
        <w:t xml:space="preserve"> Chamber (Thermotron Industries). Locus Specific Probes are specifically labeled by nick translation with modified dNTPs. Chromosome painting probes are generated by (Degenerate Oligonucleotide Primer) DOP-PCR using an Eppendorf </w:t>
      </w:r>
      <w:proofErr w:type="spellStart"/>
      <w:r w:rsidRPr="00AE1811">
        <w:rPr>
          <w:rFonts w:asciiTheme="minorHAnsi" w:hAnsiTheme="minorHAnsi"/>
          <w:sz w:val="22"/>
        </w:rPr>
        <w:t>Mastercycler</w:t>
      </w:r>
      <w:proofErr w:type="spellEnd"/>
      <w:r w:rsidRPr="00AE1811">
        <w:rPr>
          <w:rFonts w:asciiTheme="minorHAnsi" w:hAnsiTheme="minorHAnsi"/>
          <w:sz w:val="22"/>
        </w:rPr>
        <w:t xml:space="preserve"> ep.    </w:t>
      </w:r>
      <w:bookmarkStart w:id="1" w:name="OLE_LINK1"/>
      <w:r w:rsidRPr="00AE1811">
        <w:rPr>
          <w:rFonts w:asciiTheme="minorHAnsi" w:hAnsiTheme="minorHAnsi"/>
          <w:b/>
          <w:sz w:val="22"/>
        </w:rPr>
        <w:t>v)</w:t>
      </w:r>
      <w:r w:rsidRPr="00AE1811">
        <w:rPr>
          <w:rFonts w:asciiTheme="minorHAnsi" w:hAnsiTheme="minorHAnsi"/>
          <w:sz w:val="22"/>
        </w:rPr>
        <w:t xml:space="preserve"> </w:t>
      </w:r>
      <w:bookmarkEnd w:id="1"/>
      <w:r w:rsidRPr="00AE1811">
        <w:rPr>
          <w:rFonts w:asciiTheme="minorHAnsi" w:hAnsiTheme="minorHAnsi"/>
          <w:sz w:val="22"/>
        </w:rPr>
        <w:t xml:space="preserve">Four laminar flow bio-safety cabinets, four tissue culture incubators and eight large liquid nitrogen storage units are available for tissue culture. </w:t>
      </w:r>
      <w:r w:rsidRPr="00AE1811">
        <w:rPr>
          <w:rFonts w:asciiTheme="minorHAnsi" w:hAnsiTheme="minorHAnsi"/>
          <w:b/>
          <w:sz w:val="22"/>
        </w:rPr>
        <w:t>vi)</w:t>
      </w:r>
      <w:r w:rsidRPr="00AE1811">
        <w:rPr>
          <w:rFonts w:asciiTheme="minorHAnsi" w:hAnsiTheme="minorHAnsi"/>
          <w:sz w:val="22"/>
        </w:rPr>
        <w:t xml:space="preserve"> The Core is also equipped with three -80</w:t>
      </w:r>
      <w:r w:rsidRPr="00AE1811">
        <w:rPr>
          <w:rFonts w:asciiTheme="minorHAnsi" w:hAnsiTheme="minorHAnsi"/>
          <w:sz w:val="22"/>
          <w:vertAlign w:val="superscript"/>
        </w:rPr>
        <w:t>0</w:t>
      </w:r>
      <w:r w:rsidRPr="00AE1811">
        <w:rPr>
          <w:rFonts w:asciiTheme="minorHAnsi" w:hAnsiTheme="minorHAnsi"/>
          <w:sz w:val="22"/>
        </w:rPr>
        <w:t>C freezers and three refrigerators.</w:t>
      </w:r>
      <w:r w:rsidR="003F6E54">
        <w:rPr>
          <w:rFonts w:asciiTheme="minorHAnsi" w:hAnsiTheme="minorHAnsi"/>
          <w:sz w:val="22"/>
        </w:rPr>
        <w:t xml:space="preserve"> </w:t>
      </w:r>
      <w:r w:rsidR="003F6E54">
        <w:rPr>
          <w:rFonts w:asciiTheme="minorHAnsi" w:hAnsiTheme="minorHAnsi"/>
          <w:b/>
          <w:bCs/>
          <w:sz w:val="22"/>
        </w:rPr>
        <w:t>v</w:t>
      </w:r>
      <w:r w:rsidR="003F6E54" w:rsidRPr="003F6E54">
        <w:rPr>
          <w:rFonts w:asciiTheme="minorHAnsi" w:hAnsiTheme="minorHAnsi"/>
          <w:b/>
          <w:bCs/>
          <w:sz w:val="22"/>
        </w:rPr>
        <w:t>ii)</w:t>
      </w:r>
      <w:r w:rsidR="003F6E54">
        <w:rPr>
          <w:rFonts w:asciiTheme="minorHAnsi" w:hAnsiTheme="minorHAnsi"/>
          <w:sz w:val="22"/>
        </w:rPr>
        <w:t xml:space="preserve"> the core newly equipped with </w:t>
      </w:r>
      <w:proofErr w:type="spellStart"/>
      <w:r w:rsidR="003F6E54">
        <w:rPr>
          <w:rFonts w:asciiTheme="minorHAnsi" w:hAnsiTheme="minorHAnsi"/>
          <w:sz w:val="22"/>
        </w:rPr>
        <w:t>incuCyte</w:t>
      </w:r>
      <w:proofErr w:type="spellEnd"/>
      <w:r w:rsidR="003F6E54">
        <w:rPr>
          <w:rFonts w:asciiTheme="minorHAnsi" w:hAnsiTheme="minorHAnsi"/>
          <w:sz w:val="22"/>
        </w:rPr>
        <w:t xml:space="preserve">—live cell imaging system. </w:t>
      </w:r>
      <w:r w:rsidR="003F6E54">
        <w:rPr>
          <w:rFonts w:asciiTheme="minorHAnsi" w:hAnsiTheme="minorHAnsi"/>
          <w:b/>
          <w:bCs/>
          <w:sz w:val="22"/>
        </w:rPr>
        <w:t>v</w:t>
      </w:r>
      <w:r w:rsidR="003F6E54" w:rsidRPr="003F6E54">
        <w:rPr>
          <w:rFonts w:asciiTheme="minorHAnsi" w:hAnsiTheme="minorHAnsi"/>
          <w:b/>
          <w:bCs/>
          <w:sz w:val="22"/>
        </w:rPr>
        <w:t>iii)</w:t>
      </w:r>
      <w:r w:rsidR="003F6E54">
        <w:rPr>
          <w:rFonts w:asciiTheme="minorHAnsi" w:hAnsiTheme="minorHAnsi"/>
          <w:sz w:val="22"/>
        </w:rPr>
        <w:t xml:space="preserve"> new purchase G4X Spatial sequencer—in-situ </w:t>
      </w:r>
      <w:proofErr w:type="spellStart"/>
      <w:r w:rsidR="003F6E54">
        <w:rPr>
          <w:rFonts w:asciiTheme="minorHAnsi" w:hAnsiTheme="minorHAnsi"/>
          <w:sz w:val="22"/>
        </w:rPr>
        <w:t>multiomics</w:t>
      </w:r>
      <w:proofErr w:type="spellEnd"/>
      <w:r w:rsidR="003F6E54">
        <w:rPr>
          <w:rFonts w:asciiTheme="minorHAnsi" w:hAnsiTheme="minorHAnsi"/>
          <w:sz w:val="22"/>
        </w:rPr>
        <w:t xml:space="preserve"> analysis of FFPE tissue.</w:t>
      </w:r>
    </w:p>
    <w:p w14:paraId="1D10075D" w14:textId="54C64194" w:rsidR="00593950" w:rsidRPr="00AE1811" w:rsidRDefault="00593950" w:rsidP="00593950">
      <w:r w:rsidRPr="00AE1811">
        <w:rPr>
          <w:i/>
          <w:u w:val="single"/>
        </w:rPr>
        <w:t>Throughput and Capacity</w:t>
      </w:r>
      <w:r w:rsidRPr="00AE1811">
        <w:rPr>
          <w:i/>
        </w:rPr>
        <w:t>:</w:t>
      </w:r>
      <w:r w:rsidRPr="00AE1811">
        <w:t xml:space="preserve">  The MC core interacts with over 50 investigators at </w:t>
      </w:r>
      <w:r w:rsidR="003F6E54">
        <w:t>Einstein</w:t>
      </w:r>
      <w:r w:rsidRPr="00AE1811">
        <w:t xml:space="preserve"> and provides FISH and cell culture services to investigators from other institutes.  The facility has capacity to process over 1000 FISH samples/year. The personnel is also able to handle about 500 EBV transformations and up to 1,000 DNA or mRNA extractions /year.</w:t>
      </w:r>
    </w:p>
    <w:p w14:paraId="0AF74711" w14:textId="77777777" w:rsidR="002A75E2" w:rsidRDefault="002A75E2"/>
    <w:sectPr w:rsidR="002A75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950"/>
    <w:rsid w:val="00064C09"/>
    <w:rsid w:val="00073300"/>
    <w:rsid w:val="00273053"/>
    <w:rsid w:val="002A75E2"/>
    <w:rsid w:val="003F6E54"/>
    <w:rsid w:val="00593950"/>
    <w:rsid w:val="00B276C9"/>
    <w:rsid w:val="00D94B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47F89"/>
  <w15:chartTrackingRefBased/>
  <w15:docId w15:val="{C6709177-C28F-4D94-B4D5-EC06E076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950"/>
  </w:style>
  <w:style w:type="paragraph" w:styleId="Heading1">
    <w:name w:val="heading 1"/>
    <w:basedOn w:val="Normal"/>
    <w:next w:val="Normal"/>
    <w:link w:val="Heading1Char"/>
    <w:uiPriority w:val="9"/>
    <w:qFormat/>
    <w:rsid w:val="005939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950"/>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593950"/>
    <w:pPr>
      <w:autoSpaceDE w:val="0"/>
      <w:autoSpaceDN w:val="0"/>
      <w:spacing w:after="120"/>
    </w:pPr>
    <w:rPr>
      <w:rFonts w:ascii="Times" w:eastAsia="Times New Roman" w:hAnsi="Times" w:cs="Times New Roman"/>
      <w:sz w:val="24"/>
      <w:szCs w:val="24"/>
    </w:rPr>
  </w:style>
  <w:style w:type="character" w:customStyle="1" w:styleId="BodyTextChar">
    <w:name w:val="Body Text Char"/>
    <w:basedOn w:val="DefaultParagraphFont"/>
    <w:link w:val="BodyText"/>
    <w:rsid w:val="00593950"/>
    <w:rPr>
      <w:rFonts w:ascii="Times" w:eastAsia="Times New Roman" w:hAns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Pelowski</dc:creator>
  <cp:keywords/>
  <dc:description/>
  <cp:lastModifiedBy>Jidong Shan</cp:lastModifiedBy>
  <cp:revision>4</cp:revision>
  <dcterms:created xsi:type="dcterms:W3CDTF">2026-07-29T14:11:00Z</dcterms:created>
  <dcterms:modified xsi:type="dcterms:W3CDTF">2026-07-29T14:37:00Z</dcterms:modified>
</cp:coreProperties>
</file>